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4C8EA">
      <w:pPr>
        <w:widowControl/>
        <w:spacing w:line="360" w:lineRule="auto"/>
        <w:jc w:val="center"/>
        <w:rPr>
          <w:rFonts w:hint="eastAsia" w:ascii="Times New Roman" w:hAnsi="Times New Roman" w:eastAsia="方正小标宋简体" w:cs="Times New Roman"/>
          <w:bCs/>
          <w:kern w:val="44"/>
          <w:sz w:val="44"/>
          <w:szCs w:val="44"/>
          <w:lang w:val="en-US" w:eastAsia="zh-CN"/>
        </w:rPr>
      </w:pPr>
      <w:r>
        <w:rPr>
          <w:rFonts w:hint="eastAsia" w:ascii="Times New Roman" w:hAnsi="Times New Roman" w:eastAsia="方正小标宋简体" w:cs="Times New Roman"/>
          <w:bCs/>
          <w:kern w:val="44"/>
          <w:sz w:val="44"/>
          <w:szCs w:val="44"/>
          <w:lang w:val="en-US" w:eastAsia="zh-CN"/>
        </w:rPr>
        <w:t>工程造价咨询</w:t>
      </w:r>
    </w:p>
    <w:p w14:paraId="37E08C23">
      <w:pPr>
        <w:widowControl/>
        <w:spacing w:line="360" w:lineRule="auto"/>
        <w:jc w:val="center"/>
        <w:rPr>
          <w:rFonts w:hint="eastAsia" w:ascii="仿宋" w:hAnsi="仿宋" w:eastAsia="仿宋" w:cs="仿宋"/>
          <w:bCs/>
          <w:kern w:val="44"/>
          <w:sz w:val="32"/>
          <w:szCs w:val="32"/>
          <w:lang w:val="en-US" w:eastAsia="zh-CN"/>
        </w:rPr>
      </w:pPr>
      <w:r>
        <w:rPr>
          <w:rFonts w:hint="eastAsia" w:ascii="仿宋" w:hAnsi="仿宋" w:eastAsia="仿宋" w:cs="仿宋"/>
          <w:bCs/>
          <w:kern w:val="44"/>
          <w:sz w:val="32"/>
          <w:szCs w:val="32"/>
          <w:lang w:val="en-US" w:eastAsia="zh-CN"/>
        </w:rPr>
        <w:t>（2024版）</w:t>
      </w:r>
    </w:p>
    <w:p w14:paraId="4091D60F">
      <w:pPr>
        <w:widowControl/>
        <w:spacing w:line="360" w:lineRule="auto"/>
        <w:ind w:firstLine="641"/>
        <w:jc w:val="left"/>
        <w:rPr>
          <w:rFonts w:hint="eastAsia" w:ascii="Times New Roman" w:hAnsi="Times New Roman" w:eastAsia="宋体" w:cs="Times New Roman"/>
          <w:sz w:val="28"/>
          <w:szCs w:val="28"/>
        </w:rPr>
      </w:pPr>
    </w:p>
    <w:p w14:paraId="48A50712">
      <w:pPr>
        <w:widowControl/>
        <w:spacing w:line="360" w:lineRule="auto"/>
        <w:ind w:firstLine="641"/>
        <w:jc w:val="left"/>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工程造价咨询是建筑服务业发展的关键环节</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主要包括</w:t>
      </w:r>
      <w:r>
        <w:rPr>
          <w:rFonts w:hint="eastAsia" w:ascii="Times New Roman" w:hAnsi="Times New Roman" w:eastAsia="宋体" w:cs="Times New Roman"/>
          <w:sz w:val="28"/>
          <w:szCs w:val="28"/>
        </w:rPr>
        <w:t>项目决策阶段投资估算</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概算</w:t>
      </w:r>
      <w:r>
        <w:rPr>
          <w:rFonts w:hint="eastAsia" w:ascii="Times New Roman" w:hAnsi="Times New Roman" w:eastAsia="宋体" w:cs="Times New Roman"/>
          <w:sz w:val="28"/>
          <w:szCs w:val="28"/>
          <w:lang w:val="en-US" w:eastAsia="zh-CN"/>
        </w:rPr>
        <w:t>编审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设计阶段</w:t>
      </w:r>
      <w:r>
        <w:rPr>
          <w:rFonts w:hint="eastAsia" w:ascii="Times New Roman" w:hAnsi="Times New Roman" w:eastAsia="宋体" w:cs="Times New Roman"/>
          <w:sz w:val="28"/>
          <w:szCs w:val="28"/>
          <w:lang w:val="en-US" w:eastAsia="zh-CN"/>
        </w:rPr>
        <w:t>和招投标阶段</w:t>
      </w:r>
      <w:r>
        <w:rPr>
          <w:rFonts w:hint="eastAsia" w:ascii="Times New Roman" w:hAnsi="Times New Roman" w:eastAsia="宋体" w:cs="Times New Roman"/>
          <w:sz w:val="28"/>
          <w:szCs w:val="28"/>
        </w:rPr>
        <w:t>预算、</w:t>
      </w:r>
      <w:r>
        <w:rPr>
          <w:rFonts w:hint="eastAsia" w:ascii="Times New Roman" w:hAnsi="Times New Roman" w:eastAsia="宋体" w:cs="Times New Roman"/>
          <w:sz w:val="28"/>
          <w:szCs w:val="28"/>
          <w:lang w:val="en-US" w:eastAsia="zh-CN"/>
        </w:rPr>
        <w:t>最高限价编审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施工阶段</w:t>
      </w:r>
      <w:r>
        <w:rPr>
          <w:rFonts w:hint="eastAsia" w:ascii="Times New Roman" w:hAnsi="Times New Roman" w:eastAsia="宋体" w:cs="Times New Roman"/>
          <w:sz w:val="28"/>
          <w:szCs w:val="28"/>
          <w:lang w:val="en-US" w:eastAsia="zh-CN"/>
        </w:rPr>
        <w:t>全过程造价管控，</w:t>
      </w:r>
      <w:r>
        <w:rPr>
          <w:rFonts w:hint="eastAsia" w:ascii="Times New Roman" w:hAnsi="Times New Roman" w:eastAsia="宋体" w:cs="Times New Roman"/>
          <w:sz w:val="28"/>
          <w:szCs w:val="28"/>
        </w:rPr>
        <w:t>竣工阶段结算审核</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以及工程造价鉴定、仲裁和纠纷调解</w:t>
      </w:r>
      <w:r>
        <w:rPr>
          <w:rFonts w:hint="eastAsia" w:ascii="Times New Roman" w:hAnsi="Times New Roman" w:eastAsia="宋体" w:cs="Times New Roman"/>
          <w:sz w:val="28"/>
          <w:szCs w:val="28"/>
        </w:rPr>
        <w:t>等。这些</w:t>
      </w:r>
      <w:r>
        <w:rPr>
          <w:rFonts w:hint="eastAsia" w:ascii="Times New Roman" w:hAnsi="Times New Roman" w:eastAsia="宋体" w:cs="Times New Roman"/>
          <w:sz w:val="28"/>
          <w:szCs w:val="28"/>
          <w:lang w:val="en-US" w:eastAsia="zh-CN"/>
        </w:rPr>
        <w:t>专业</w:t>
      </w:r>
      <w:r>
        <w:rPr>
          <w:rFonts w:hint="eastAsia" w:ascii="Times New Roman" w:hAnsi="Times New Roman" w:eastAsia="宋体" w:cs="Times New Roman"/>
          <w:sz w:val="28"/>
          <w:szCs w:val="28"/>
        </w:rPr>
        <w:t>服务</w:t>
      </w:r>
      <w:r>
        <w:rPr>
          <w:rFonts w:ascii="Times New Roman" w:hAnsi="Times New Roman" w:eastAsia="宋体" w:cs="Times New Roman"/>
          <w:sz w:val="28"/>
          <w:szCs w:val="28"/>
        </w:rPr>
        <w:t>在建</w:t>
      </w:r>
      <w:r>
        <w:rPr>
          <w:rFonts w:hint="eastAsia" w:ascii="Times New Roman" w:hAnsi="Times New Roman" w:eastAsia="宋体" w:cs="Times New Roman"/>
          <w:sz w:val="28"/>
          <w:szCs w:val="28"/>
          <w:lang w:val="en-US" w:eastAsia="zh-CN"/>
        </w:rPr>
        <w:t>设</w:t>
      </w:r>
      <w:r>
        <w:rPr>
          <w:rFonts w:ascii="Times New Roman" w:hAnsi="Times New Roman" w:eastAsia="宋体" w:cs="Times New Roman"/>
          <w:sz w:val="28"/>
          <w:szCs w:val="28"/>
        </w:rPr>
        <w:t>项目全过程中发挥着至关重要的作用，</w:t>
      </w:r>
      <w:r>
        <w:rPr>
          <w:rFonts w:hint="eastAsia" w:ascii="Times New Roman" w:hAnsi="Times New Roman" w:eastAsia="宋体" w:cs="Times New Roman"/>
          <w:sz w:val="28"/>
          <w:szCs w:val="28"/>
          <w:lang w:val="en-US" w:eastAsia="zh-CN"/>
        </w:rPr>
        <w:t>极大</w:t>
      </w:r>
      <w:r>
        <w:rPr>
          <w:rFonts w:hint="eastAsia" w:ascii="Times New Roman" w:hAnsi="Times New Roman" w:eastAsia="宋体" w:cs="Times New Roman"/>
          <w:sz w:val="28"/>
          <w:szCs w:val="28"/>
        </w:rPr>
        <w:t>提高</w:t>
      </w:r>
      <w:r>
        <w:rPr>
          <w:rFonts w:hint="eastAsia" w:ascii="Times New Roman" w:hAnsi="Times New Roman" w:eastAsia="宋体" w:cs="Times New Roman"/>
          <w:sz w:val="28"/>
          <w:szCs w:val="28"/>
          <w:lang w:val="en-US" w:eastAsia="zh-CN"/>
        </w:rPr>
        <w:t>建设</w:t>
      </w:r>
      <w:r>
        <w:rPr>
          <w:rFonts w:hint="eastAsia" w:ascii="Times New Roman" w:hAnsi="Times New Roman" w:eastAsia="宋体" w:cs="Times New Roman"/>
          <w:sz w:val="28"/>
          <w:szCs w:val="28"/>
        </w:rPr>
        <w:t>项目的投资效益和社会效益</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对优化资源配置和推动</w:t>
      </w:r>
      <w:r>
        <w:rPr>
          <w:rFonts w:hint="eastAsia" w:ascii="Times New Roman" w:hAnsi="Times New Roman" w:eastAsia="宋体" w:cs="Times New Roman"/>
          <w:sz w:val="28"/>
          <w:szCs w:val="28"/>
          <w:lang w:val="en-US" w:eastAsia="zh-CN"/>
        </w:rPr>
        <w:t>建设领域</w:t>
      </w:r>
      <w:r>
        <w:rPr>
          <w:rFonts w:hint="eastAsia" w:ascii="Times New Roman" w:hAnsi="Times New Roman" w:eastAsia="宋体" w:cs="Times New Roman"/>
          <w:sz w:val="28"/>
          <w:szCs w:val="28"/>
        </w:rPr>
        <w:t>的健康发展具有重要意义。加快工程造价咨询服务业发展，是推动建筑</w:t>
      </w:r>
      <w:r>
        <w:rPr>
          <w:rFonts w:hint="eastAsia" w:ascii="Times New Roman" w:hAnsi="Times New Roman" w:eastAsia="宋体" w:cs="Times New Roman"/>
          <w:sz w:val="28"/>
          <w:szCs w:val="28"/>
          <w:lang w:val="en-US" w:eastAsia="zh-CN"/>
        </w:rPr>
        <w:t>业高质量发展、</w:t>
      </w:r>
      <w:r>
        <w:rPr>
          <w:rFonts w:hint="eastAsia" w:ascii="Times New Roman" w:hAnsi="Times New Roman" w:eastAsia="宋体" w:cs="Times New Roman"/>
          <w:sz w:val="28"/>
          <w:szCs w:val="28"/>
        </w:rPr>
        <w:t>促进科技与建筑经济深度融合的客观要求，是调整优化建筑产业结构、培育新的经济增长点的重要举措，是实现科技创新引领建筑产业升级、推动建筑经济向中高端水平迈进的关键一环，对于深入实施创新驱动发展战略、推动建筑经济提质增效升级具有重要意义。</w:t>
      </w:r>
    </w:p>
    <w:p w14:paraId="03AD34CD">
      <w:pPr>
        <w:widowControl/>
        <w:spacing w:before="156" w:beforeLines="50" w:after="156" w:afterLines="50" w:line="360" w:lineRule="auto"/>
        <w:ind w:firstLine="560" w:firstLineChars="200"/>
        <w:jc w:val="left"/>
        <w:rPr>
          <w:rFonts w:ascii="Times New Roman" w:hAnsi="Times New Roman" w:eastAsia="黑体" w:cs="Times New Roman"/>
          <w:color w:val="222222"/>
          <w:kern w:val="0"/>
          <w:sz w:val="28"/>
          <w:szCs w:val="28"/>
          <w:shd w:val="clear" w:color="auto" w:fill="FFFFFF"/>
          <w:lang w:bidi="ar"/>
        </w:rPr>
      </w:pPr>
      <w:r>
        <w:rPr>
          <w:rFonts w:ascii="Times New Roman" w:hAnsi="Times New Roman" w:eastAsia="黑体" w:cs="Times New Roman"/>
          <w:color w:val="222222"/>
          <w:kern w:val="0"/>
          <w:sz w:val="28"/>
          <w:szCs w:val="28"/>
          <w:shd w:val="clear" w:color="auto" w:fill="FFFFFF"/>
          <w:lang w:bidi="ar"/>
        </w:rPr>
        <w:t>一、总体发展情况</w:t>
      </w:r>
    </w:p>
    <w:p w14:paraId="12869F5B">
      <w:pPr>
        <w:widowControl/>
        <w:spacing w:line="360" w:lineRule="auto"/>
        <w:ind w:firstLine="641"/>
        <w:jc w:val="left"/>
        <w:rPr>
          <w:rFonts w:ascii="Times New Roman" w:hAnsi="Times New Roman" w:eastAsia="宋体"/>
          <w:sz w:val="28"/>
          <w:szCs w:val="28"/>
        </w:rPr>
      </w:pPr>
      <w:r>
        <w:rPr>
          <w:rFonts w:ascii="Times New Roman" w:hAnsi="Times New Roman" w:eastAsia="宋体" w:cs="Times New Roman"/>
          <w:b/>
          <w:bCs/>
          <w:color w:val="222222"/>
          <w:kern w:val="0"/>
          <w:sz w:val="28"/>
          <w:szCs w:val="28"/>
          <w:shd w:val="clear" w:color="auto" w:fill="FFFFFF"/>
          <w:lang w:bidi="ar"/>
        </w:rPr>
        <w:t>（一）产业布局。</w:t>
      </w:r>
      <w:r>
        <w:rPr>
          <w:rFonts w:ascii="Times New Roman" w:hAnsi="Times New Roman" w:eastAsia="宋体"/>
          <w:sz w:val="28"/>
          <w:szCs w:val="28"/>
        </w:rPr>
        <w:t>截至2023年12月31日，全</w:t>
      </w:r>
      <w:r>
        <w:rPr>
          <w:rFonts w:hint="eastAsia" w:ascii="Times New Roman" w:hAnsi="Times New Roman" w:eastAsia="宋体"/>
          <w:sz w:val="28"/>
          <w:szCs w:val="28"/>
          <w:lang w:val="en-US" w:eastAsia="zh-CN"/>
        </w:rPr>
        <w:t>国</w:t>
      </w:r>
      <w:r>
        <w:rPr>
          <w:rFonts w:ascii="Times New Roman" w:hAnsi="Times New Roman" w:eastAsia="宋体"/>
          <w:sz w:val="28"/>
          <w:szCs w:val="28"/>
        </w:rPr>
        <w:t>共有</w:t>
      </w:r>
      <w:r>
        <w:rPr>
          <w:rFonts w:hint="eastAsia" w:ascii="Times New Roman" w:hAnsi="Times New Roman" w:eastAsia="宋体"/>
          <w:sz w:val="28"/>
          <w:szCs w:val="28"/>
        </w:rPr>
        <w:t>15284家登记工程造价咨询业务的企业参加了统计</w:t>
      </w:r>
      <w:r>
        <w:rPr>
          <w:rFonts w:ascii="Times New Roman" w:hAnsi="Times New Roman" w:eastAsia="宋体"/>
          <w:sz w:val="28"/>
          <w:szCs w:val="28"/>
        </w:rPr>
        <w:t>，比</w:t>
      </w:r>
      <w:r>
        <w:rPr>
          <w:rFonts w:hint="eastAsia" w:ascii="Times New Roman" w:hAnsi="Times New Roman" w:eastAsia="宋体"/>
          <w:sz w:val="28"/>
          <w:szCs w:val="28"/>
        </w:rPr>
        <w:t>上</w:t>
      </w:r>
      <w:r>
        <w:rPr>
          <w:rFonts w:ascii="Times New Roman" w:hAnsi="Times New Roman" w:eastAsia="宋体"/>
          <w:sz w:val="28"/>
          <w:szCs w:val="28"/>
        </w:rPr>
        <w:t>年增</w:t>
      </w:r>
      <w:r>
        <w:rPr>
          <w:rFonts w:hint="eastAsia" w:ascii="Times New Roman" w:hAnsi="Times New Roman" w:eastAsia="宋体"/>
          <w:sz w:val="28"/>
          <w:szCs w:val="28"/>
        </w:rPr>
        <w:t>长8.6</w:t>
      </w:r>
      <w:r>
        <w:rPr>
          <w:rFonts w:ascii="Times New Roman" w:hAnsi="Times New Roman" w:eastAsia="宋体"/>
          <w:sz w:val="28"/>
          <w:szCs w:val="28"/>
        </w:rPr>
        <w:t>%，</w:t>
      </w:r>
      <w:r>
        <w:rPr>
          <w:rFonts w:hint="eastAsia" w:ascii="Times New Roman" w:hAnsi="Times New Roman" w:eastAsia="宋体"/>
          <w:sz w:val="28"/>
          <w:szCs w:val="28"/>
        </w:rPr>
        <w:t>参与统计的咨询企业</w:t>
      </w:r>
      <w:r>
        <w:rPr>
          <w:rFonts w:ascii="Times New Roman" w:hAnsi="Times New Roman" w:eastAsia="宋体"/>
          <w:sz w:val="28"/>
          <w:szCs w:val="28"/>
        </w:rPr>
        <w:t>近</w:t>
      </w:r>
      <w:r>
        <w:rPr>
          <w:rFonts w:hint="eastAsia" w:ascii="Times New Roman" w:hAnsi="Times New Roman" w:eastAsia="宋体"/>
          <w:sz w:val="28"/>
          <w:szCs w:val="28"/>
        </w:rPr>
        <w:t>五</w:t>
      </w:r>
      <w:r>
        <w:rPr>
          <w:rFonts w:ascii="Times New Roman" w:hAnsi="Times New Roman" w:eastAsia="宋体"/>
          <w:sz w:val="28"/>
          <w:szCs w:val="28"/>
        </w:rPr>
        <w:t>年复</w:t>
      </w:r>
      <w:r>
        <w:rPr>
          <w:rFonts w:hint="eastAsia" w:ascii="Times New Roman" w:hAnsi="Times New Roman" w:eastAsia="宋体"/>
          <w:sz w:val="28"/>
          <w:szCs w:val="28"/>
        </w:rPr>
        <w:t>合</w:t>
      </w:r>
      <w:r>
        <w:rPr>
          <w:rFonts w:ascii="Times New Roman" w:hAnsi="Times New Roman" w:eastAsia="宋体"/>
          <w:sz w:val="28"/>
          <w:szCs w:val="28"/>
        </w:rPr>
        <w:t>增长率为</w:t>
      </w:r>
      <w:r>
        <w:rPr>
          <w:rFonts w:hint="eastAsia" w:ascii="Times New Roman" w:hAnsi="Times New Roman" w:eastAsia="宋体"/>
          <w:sz w:val="28"/>
          <w:szCs w:val="28"/>
        </w:rPr>
        <w:t>13.28</w:t>
      </w:r>
      <w:r>
        <w:rPr>
          <w:rFonts w:ascii="Times New Roman" w:hAnsi="Times New Roman" w:eastAsia="宋体"/>
          <w:sz w:val="28"/>
          <w:szCs w:val="28"/>
        </w:rPr>
        <w:t>%。</w:t>
      </w:r>
    </w:p>
    <w:p w14:paraId="368BD9BB">
      <w:pPr>
        <w:widowControl/>
        <w:ind w:firstLine="640"/>
        <w:jc w:val="left"/>
        <w:rPr>
          <w:rFonts w:ascii="Times New Roman" w:hAnsi="Times New Roman" w:eastAsia="微软雅黑" w:cs="Times New Roman"/>
          <w:color w:val="222222"/>
          <w:sz w:val="13"/>
          <w:szCs w:val="13"/>
          <w:shd w:val="clear" w:color="auto" w:fill="FFFFFF"/>
        </w:rPr>
      </w:pPr>
      <w:r>
        <w:rPr>
          <w:rFonts w:hint="eastAsia"/>
          <w14:ligatures w14:val="standardContextual"/>
        </w:rPr>
        <w:drawing>
          <wp:inline distT="0" distB="0" distL="0" distR="0">
            <wp:extent cx="4505325" cy="2355850"/>
            <wp:effectExtent l="4445" t="4445" r="5080" b="20955"/>
            <wp:docPr id="142597963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6A8848E">
      <w:pPr>
        <w:widowControl/>
        <w:spacing w:line="360" w:lineRule="auto"/>
        <w:ind w:firstLine="640"/>
        <w:jc w:val="left"/>
        <w:rPr>
          <w:rFonts w:hint="eastAsia" w:ascii="Times New Roman" w:hAnsi="Times New Roman" w:eastAsia="宋体"/>
          <w:sz w:val="28"/>
          <w:szCs w:val="28"/>
        </w:rPr>
      </w:pPr>
      <w:r>
        <w:rPr>
          <w:rFonts w:ascii="Times New Roman" w:hAnsi="Times New Roman" w:eastAsia="宋体"/>
          <w:sz w:val="28"/>
          <w:szCs w:val="28"/>
        </w:rPr>
        <w:t>截至20</w:t>
      </w:r>
      <w:r>
        <w:rPr>
          <w:rFonts w:hint="eastAsia" w:ascii="Times New Roman" w:hAnsi="Times New Roman" w:eastAsia="宋体"/>
          <w:sz w:val="28"/>
          <w:szCs w:val="28"/>
        </w:rPr>
        <w:t>23</w:t>
      </w:r>
      <w:r>
        <w:rPr>
          <w:rFonts w:ascii="Times New Roman" w:hAnsi="Times New Roman" w:eastAsia="宋体"/>
          <w:sz w:val="28"/>
          <w:szCs w:val="28"/>
        </w:rPr>
        <w:t>年12月31日</w:t>
      </w:r>
      <w:r>
        <w:rPr>
          <w:rFonts w:hint="eastAsia" w:ascii="Times New Roman" w:hAnsi="Times New Roman" w:eastAsia="宋体"/>
          <w:sz w:val="28"/>
          <w:szCs w:val="28"/>
        </w:rPr>
        <w:t>参加统计的企业</w:t>
      </w:r>
      <w:r>
        <w:rPr>
          <w:rFonts w:ascii="Times New Roman" w:hAnsi="Times New Roman" w:eastAsia="宋体"/>
          <w:sz w:val="28"/>
          <w:szCs w:val="28"/>
        </w:rPr>
        <w:t>实现业务收入</w:t>
      </w:r>
      <w:r>
        <w:rPr>
          <w:rFonts w:hint="eastAsia" w:ascii="Times New Roman" w:hAnsi="Times New Roman" w:eastAsia="宋体"/>
          <w:sz w:val="28"/>
          <w:szCs w:val="28"/>
        </w:rPr>
        <w:t>14450.00</w:t>
      </w:r>
      <w:r>
        <w:rPr>
          <w:rFonts w:ascii="Times New Roman" w:hAnsi="Times New Roman" w:eastAsia="宋体"/>
          <w:sz w:val="28"/>
          <w:szCs w:val="28"/>
        </w:rPr>
        <w:t>亿元，较上年</w:t>
      </w:r>
      <w:r>
        <w:rPr>
          <w:rFonts w:hint="eastAsia" w:ascii="Times New Roman" w:hAnsi="Times New Roman" w:eastAsia="宋体"/>
          <w:sz w:val="28"/>
          <w:szCs w:val="28"/>
        </w:rPr>
        <w:t>减少5.5</w:t>
      </w:r>
      <w:r>
        <w:rPr>
          <w:rFonts w:ascii="Times New Roman" w:hAnsi="Times New Roman" w:eastAsia="宋体"/>
          <w:sz w:val="28"/>
          <w:szCs w:val="28"/>
        </w:rPr>
        <w:t>%。其中，</w:t>
      </w:r>
      <w:r>
        <w:rPr>
          <w:rFonts w:hint="eastAsia" w:ascii="Times New Roman" w:hAnsi="Times New Roman" w:eastAsia="宋体"/>
          <w:sz w:val="28"/>
          <w:szCs w:val="28"/>
        </w:rPr>
        <w:t>工程造价咨询</w:t>
      </w:r>
      <w:r>
        <w:rPr>
          <w:rFonts w:ascii="Times New Roman" w:hAnsi="Times New Roman" w:eastAsia="宋体"/>
          <w:sz w:val="28"/>
          <w:szCs w:val="28"/>
        </w:rPr>
        <w:t>实现业务收入</w:t>
      </w:r>
      <w:r>
        <w:rPr>
          <w:rFonts w:hint="eastAsia" w:ascii="Times New Roman" w:hAnsi="Times New Roman" w:eastAsia="宋体"/>
          <w:sz w:val="28"/>
          <w:szCs w:val="28"/>
        </w:rPr>
        <w:t>1121.92</w:t>
      </w:r>
      <w:r>
        <w:rPr>
          <w:rFonts w:ascii="Times New Roman" w:hAnsi="Times New Roman" w:eastAsia="宋体"/>
          <w:sz w:val="28"/>
          <w:szCs w:val="28"/>
        </w:rPr>
        <w:t>亿元，较</w:t>
      </w:r>
      <w:r>
        <w:rPr>
          <w:rFonts w:hint="eastAsia" w:ascii="Times New Roman" w:hAnsi="Times New Roman" w:eastAsia="宋体"/>
          <w:sz w:val="28"/>
          <w:szCs w:val="28"/>
        </w:rPr>
        <w:t>上</w:t>
      </w:r>
      <w:r>
        <w:rPr>
          <w:rFonts w:ascii="Times New Roman" w:hAnsi="Times New Roman" w:eastAsia="宋体"/>
          <w:sz w:val="28"/>
          <w:szCs w:val="28"/>
        </w:rPr>
        <w:t>年</w:t>
      </w:r>
      <w:r>
        <w:rPr>
          <w:rFonts w:hint="eastAsia" w:ascii="Times New Roman" w:hAnsi="Times New Roman" w:eastAsia="宋体"/>
          <w:sz w:val="28"/>
          <w:szCs w:val="28"/>
        </w:rPr>
        <w:t>减少2</w:t>
      </w:r>
      <w:r>
        <w:rPr>
          <w:rFonts w:hint="eastAsia" w:ascii="Times New Roman" w:hAnsi="Times New Roman" w:eastAsia="宋体"/>
          <w:sz w:val="28"/>
          <w:szCs w:val="28"/>
          <w:lang w:val="en-US" w:eastAsia="zh-CN"/>
        </w:rPr>
        <w:t>.0</w:t>
      </w:r>
      <w:r>
        <w:rPr>
          <w:rFonts w:ascii="Times New Roman" w:hAnsi="Times New Roman" w:eastAsia="宋体"/>
          <w:sz w:val="28"/>
          <w:szCs w:val="28"/>
        </w:rPr>
        <w:t>%</w:t>
      </w:r>
      <w:r>
        <w:rPr>
          <w:rFonts w:hint="eastAsia" w:ascii="Times New Roman" w:hAnsi="Times New Roman" w:eastAsia="宋体"/>
          <w:sz w:val="28"/>
          <w:szCs w:val="28"/>
        </w:rPr>
        <w:t>，造价咨询收入在参加统计的企业收入占比7.8%</w:t>
      </w:r>
      <w:r>
        <w:rPr>
          <w:rFonts w:ascii="Times New Roman" w:hAnsi="Times New Roman" w:eastAsia="宋体"/>
          <w:sz w:val="28"/>
          <w:szCs w:val="28"/>
        </w:rPr>
        <w:t>。</w:t>
      </w:r>
      <w:r>
        <w:rPr>
          <w:rFonts w:hint="eastAsia" w:ascii="Times New Roman" w:hAnsi="Times New Roman" w:eastAsia="宋体"/>
          <w:sz w:val="28"/>
          <w:szCs w:val="28"/>
          <w:lang w:eastAsia="zh-CN"/>
        </w:rPr>
        <w:t>（</w:t>
      </w:r>
      <w:r>
        <w:rPr>
          <w:rFonts w:hint="eastAsia" w:ascii="Times New Roman" w:hAnsi="Times New Roman" w:eastAsia="宋体"/>
          <w:sz w:val="28"/>
          <w:szCs w:val="28"/>
          <w:lang w:val="en-US" w:eastAsia="zh-CN"/>
        </w:rPr>
        <w:t>其他业务包括勘察设计、工程监理、招标代理</w:t>
      </w:r>
      <w:r>
        <w:rPr>
          <w:rFonts w:hint="eastAsia" w:ascii="Times New Roman" w:hAnsi="Times New Roman" w:eastAsia="宋体"/>
          <w:sz w:val="28"/>
          <w:szCs w:val="28"/>
          <w:lang w:eastAsia="zh-CN"/>
        </w:rPr>
        <w:t>、</w:t>
      </w:r>
      <w:r>
        <w:rPr>
          <w:rFonts w:hint="eastAsia" w:ascii="Times New Roman" w:hAnsi="Times New Roman" w:eastAsia="宋体"/>
          <w:sz w:val="28"/>
          <w:szCs w:val="28"/>
          <w:lang w:val="en-US" w:eastAsia="zh-CN"/>
        </w:rPr>
        <w:t>工程咨询等）</w:t>
      </w:r>
      <w:r>
        <w:rPr>
          <w:rFonts w:hint="eastAsia" w:ascii="Times New Roman" w:hAnsi="Times New Roman" w:eastAsia="宋体"/>
          <w:sz w:val="28"/>
          <w:szCs w:val="28"/>
        </w:rPr>
        <w:t>。</w:t>
      </w:r>
    </w:p>
    <w:p w14:paraId="01EC1B07">
      <w:pPr>
        <w:widowControl/>
        <w:spacing w:line="360" w:lineRule="auto"/>
        <w:ind w:firstLine="562" w:firstLineChars="200"/>
        <w:rPr>
          <w:rFonts w:hint="eastAsia" w:ascii="Times New Roman" w:hAnsi="Times New Roman" w:eastAsia="宋体" w:cs="Times New Roman"/>
          <w:color w:val="222222"/>
          <w:kern w:val="0"/>
          <w:sz w:val="28"/>
          <w:szCs w:val="28"/>
          <w:shd w:val="clear" w:color="auto" w:fill="FFFFFF"/>
          <w:lang w:eastAsia="zh-CN" w:bidi="ar"/>
        </w:rPr>
      </w:pPr>
      <w:r>
        <w:rPr>
          <w:rFonts w:ascii="Times New Roman" w:hAnsi="Times New Roman" w:eastAsia="宋体" w:cs="Times New Roman"/>
          <w:b/>
          <w:bCs/>
          <w:color w:val="222222"/>
          <w:kern w:val="0"/>
          <w:sz w:val="28"/>
          <w:szCs w:val="28"/>
          <w:shd w:val="clear" w:color="auto" w:fill="FFFFFF"/>
          <w:lang w:bidi="ar"/>
        </w:rPr>
        <w:t>（二）技术趋势。</w:t>
      </w:r>
      <w:r>
        <w:rPr>
          <w:rFonts w:hint="eastAsia" w:ascii="Times New Roman" w:hAnsi="Times New Roman" w:eastAsia="宋体" w:cs="Times New Roman"/>
          <w:color w:val="222222"/>
          <w:kern w:val="0"/>
          <w:sz w:val="28"/>
          <w:szCs w:val="28"/>
          <w:shd w:val="clear" w:color="auto" w:fill="FFFFFF"/>
          <w:lang w:val="en-US" w:eastAsia="zh-CN" w:bidi="ar"/>
        </w:rPr>
        <w:t>技术进步，特别是自动化和人工智能在工程造价咨询领域的应用，正在改变传统的工作模式。这可能导致对传统造价咨询人员需求的减少，而同时，对能够运用这些先进技术的高端专业人才的需求却在不断增长。行业的这种人才结构调整，是适应经济发展新常态、提升服务价值和竞争力的必然选择。</w:t>
      </w:r>
    </w:p>
    <w:p w14:paraId="19AD96C4">
      <w:pPr>
        <w:widowControl/>
        <w:spacing w:line="360" w:lineRule="auto"/>
        <w:ind w:firstLine="560" w:firstLineChars="200"/>
        <w:rPr>
          <w:rFonts w:ascii="Times New Roman" w:hAnsi="Times New Roman" w:eastAsia="宋体"/>
          <w:sz w:val="28"/>
          <w:szCs w:val="28"/>
        </w:rPr>
      </w:pPr>
      <w:r>
        <w:rPr>
          <w:rFonts w:ascii="Times New Roman" w:hAnsi="Times New Roman" w:eastAsia="宋体"/>
          <w:sz w:val="28"/>
          <w:szCs w:val="28"/>
        </w:rPr>
        <w:t>工程造价咨询服务的主要内容：</w:t>
      </w:r>
      <w:r>
        <w:rPr>
          <w:sz w:val="28"/>
          <w:szCs w:val="28"/>
        </w:rPr>
        <w:fldChar w:fldCharType="begin"/>
      </w:r>
      <w:r>
        <w:rPr>
          <w:sz w:val="28"/>
          <w:szCs w:val="28"/>
        </w:rPr>
        <w:instrText xml:space="preserve"> HYPERLINK "https://baike.baidu.com/item/%E5%BB%BA%E8%AE%BE%E9%A1%B9%E7%9B%AE%E5%8F%AF%E8%A1%8C%E6%80%A7%E7%A0%94%E7%A9%B6/3073994?fromModule=lemma_inlink" \t "_blank" </w:instrText>
      </w:r>
      <w:r>
        <w:rPr>
          <w:sz w:val="28"/>
          <w:szCs w:val="28"/>
        </w:rPr>
        <w:fldChar w:fldCharType="separate"/>
      </w:r>
      <w:r>
        <w:rPr>
          <w:rFonts w:ascii="Times New Roman" w:hAnsi="Times New Roman" w:eastAsia="宋体"/>
          <w:sz w:val="28"/>
          <w:szCs w:val="28"/>
        </w:rPr>
        <w:t>建设项目可行性研究</w:t>
      </w:r>
      <w:r>
        <w:rPr>
          <w:rFonts w:ascii="Times New Roman" w:hAnsi="Times New Roman" w:eastAsia="宋体"/>
          <w:sz w:val="28"/>
          <w:szCs w:val="28"/>
        </w:rPr>
        <w:fldChar w:fldCharType="end"/>
      </w:r>
      <w:r>
        <w:rPr>
          <w:sz w:val="28"/>
          <w:szCs w:val="28"/>
        </w:rPr>
        <w:fldChar w:fldCharType="begin"/>
      </w:r>
      <w:r>
        <w:rPr>
          <w:sz w:val="28"/>
          <w:szCs w:val="28"/>
        </w:rPr>
        <w:instrText xml:space="preserve"> HYPERLINK "https://baike.baidu.com/item/%E7%BB%8F%E6%B5%8E%E8%AF%84%E4%BB%B7/5304469?fromModule=lemma_inlink" \t "_blank" </w:instrText>
      </w:r>
      <w:r>
        <w:rPr>
          <w:sz w:val="28"/>
          <w:szCs w:val="28"/>
        </w:rPr>
        <w:fldChar w:fldCharType="separate"/>
      </w:r>
      <w:r>
        <w:rPr>
          <w:rFonts w:ascii="Times New Roman" w:hAnsi="Times New Roman" w:eastAsia="宋体"/>
          <w:sz w:val="28"/>
          <w:szCs w:val="28"/>
        </w:rPr>
        <w:t>经济评价</w:t>
      </w:r>
      <w:r>
        <w:rPr>
          <w:rFonts w:ascii="Times New Roman" w:hAnsi="Times New Roman" w:eastAsia="宋体"/>
          <w:sz w:val="28"/>
          <w:szCs w:val="28"/>
        </w:rPr>
        <w:fldChar w:fldCharType="end"/>
      </w:r>
      <w:r>
        <w:rPr>
          <w:rFonts w:ascii="Times New Roman" w:hAnsi="Times New Roman" w:eastAsia="宋体"/>
          <w:sz w:val="28"/>
          <w:szCs w:val="28"/>
        </w:rPr>
        <w:t>、</w:t>
      </w:r>
      <w:r>
        <w:rPr>
          <w:sz w:val="28"/>
          <w:szCs w:val="28"/>
        </w:rPr>
        <w:fldChar w:fldCharType="begin"/>
      </w:r>
      <w:r>
        <w:rPr>
          <w:sz w:val="28"/>
          <w:szCs w:val="28"/>
        </w:rPr>
        <w:instrText xml:space="preserve"> HYPERLINK "https://baike.baidu.com/item/%E6%8A%95%E8%B5%84%E4%BC%B0%E7%AE%97/8706108?fromModule=lemma_inlink" \t "_blank" </w:instrText>
      </w:r>
      <w:r>
        <w:rPr>
          <w:sz w:val="28"/>
          <w:szCs w:val="28"/>
        </w:rPr>
        <w:fldChar w:fldCharType="separate"/>
      </w:r>
      <w:r>
        <w:rPr>
          <w:rFonts w:ascii="Times New Roman" w:hAnsi="Times New Roman" w:eastAsia="宋体"/>
          <w:sz w:val="28"/>
          <w:szCs w:val="28"/>
        </w:rPr>
        <w:t>投资估算</w:t>
      </w:r>
      <w:r>
        <w:rPr>
          <w:rFonts w:ascii="Times New Roman" w:hAnsi="Times New Roman" w:eastAsia="宋体"/>
          <w:sz w:val="28"/>
          <w:szCs w:val="28"/>
        </w:rPr>
        <w:fldChar w:fldCharType="end"/>
      </w:r>
      <w:r>
        <w:rPr>
          <w:rFonts w:ascii="Times New Roman" w:hAnsi="Times New Roman" w:eastAsia="宋体"/>
          <w:sz w:val="28"/>
          <w:szCs w:val="28"/>
        </w:rPr>
        <w:t>、</w:t>
      </w:r>
      <w:r>
        <w:rPr>
          <w:sz w:val="28"/>
          <w:szCs w:val="28"/>
        </w:rPr>
        <w:fldChar w:fldCharType="begin"/>
      </w:r>
      <w:r>
        <w:rPr>
          <w:sz w:val="28"/>
          <w:szCs w:val="28"/>
        </w:rPr>
        <w:instrText xml:space="preserve"> HYPERLINK "https://baike.baidu.com/item/%E9%A1%B9%E7%9B%AE%E5%90%8E%E8%AF%84%E4%BB%B7/2373095?fromModule=lemma_inlink" \t "_blank" </w:instrText>
      </w:r>
      <w:r>
        <w:rPr>
          <w:sz w:val="28"/>
          <w:szCs w:val="28"/>
        </w:rPr>
        <w:fldChar w:fldCharType="separate"/>
      </w:r>
      <w:r>
        <w:rPr>
          <w:rFonts w:ascii="Times New Roman" w:hAnsi="Times New Roman" w:eastAsia="宋体"/>
          <w:sz w:val="28"/>
          <w:szCs w:val="28"/>
        </w:rPr>
        <w:t>项目后评价</w:t>
      </w:r>
      <w:r>
        <w:rPr>
          <w:rFonts w:ascii="Times New Roman" w:hAnsi="Times New Roman" w:eastAsia="宋体"/>
          <w:sz w:val="28"/>
          <w:szCs w:val="28"/>
        </w:rPr>
        <w:fldChar w:fldCharType="end"/>
      </w:r>
      <w:r>
        <w:rPr>
          <w:rFonts w:ascii="Times New Roman" w:hAnsi="Times New Roman" w:eastAsia="宋体"/>
          <w:sz w:val="28"/>
          <w:szCs w:val="28"/>
        </w:rPr>
        <w:t>报告的编制和审核；</w:t>
      </w:r>
      <w:r>
        <w:rPr>
          <w:sz w:val="28"/>
          <w:szCs w:val="28"/>
        </w:rPr>
        <w:fldChar w:fldCharType="begin"/>
      </w:r>
      <w:r>
        <w:rPr>
          <w:sz w:val="28"/>
          <w:szCs w:val="28"/>
        </w:rPr>
        <w:instrText xml:space="preserve"> HYPERLINK "https://baike.baidu.com/item/%E5%BB%BA%E8%AE%BE%E5%B7%A5%E7%A8%8B/3077149?fromModule=lemma_inlink" \t "_blank" </w:instrText>
      </w:r>
      <w:r>
        <w:rPr>
          <w:sz w:val="28"/>
          <w:szCs w:val="28"/>
        </w:rPr>
        <w:fldChar w:fldCharType="separate"/>
      </w:r>
      <w:r>
        <w:rPr>
          <w:rFonts w:ascii="Times New Roman" w:hAnsi="Times New Roman" w:eastAsia="宋体"/>
          <w:sz w:val="28"/>
          <w:szCs w:val="28"/>
        </w:rPr>
        <w:t>建设工程</w:t>
      </w:r>
      <w:r>
        <w:rPr>
          <w:rFonts w:ascii="Times New Roman" w:hAnsi="Times New Roman" w:eastAsia="宋体"/>
          <w:sz w:val="28"/>
          <w:szCs w:val="28"/>
        </w:rPr>
        <w:fldChar w:fldCharType="end"/>
      </w:r>
      <w:r>
        <w:rPr>
          <w:rFonts w:ascii="Times New Roman" w:hAnsi="Times New Roman" w:eastAsia="宋体"/>
          <w:sz w:val="28"/>
          <w:szCs w:val="28"/>
        </w:rPr>
        <w:t>概、预、结算及竣工结（决）算报告的编制和审核；建设工程</w:t>
      </w:r>
      <w:r>
        <w:rPr>
          <w:sz w:val="28"/>
          <w:szCs w:val="28"/>
        </w:rPr>
        <w:fldChar w:fldCharType="begin"/>
      </w:r>
      <w:r>
        <w:rPr>
          <w:sz w:val="28"/>
          <w:szCs w:val="28"/>
        </w:rPr>
        <w:instrText xml:space="preserve"> HYPERLINK "https://baike.baidu.com/item/%E5%AE%9E%E6%96%BD%E9%98%B6%E6%AE%B5/53627118?fromModule=lemma_inlink" \t "_blank" </w:instrText>
      </w:r>
      <w:r>
        <w:rPr>
          <w:sz w:val="28"/>
          <w:szCs w:val="28"/>
        </w:rPr>
        <w:fldChar w:fldCharType="separate"/>
      </w:r>
      <w:r>
        <w:rPr>
          <w:rFonts w:ascii="Times New Roman" w:hAnsi="Times New Roman" w:eastAsia="宋体"/>
          <w:sz w:val="28"/>
          <w:szCs w:val="28"/>
        </w:rPr>
        <w:t>实施阶段</w:t>
      </w:r>
      <w:r>
        <w:rPr>
          <w:rFonts w:ascii="Times New Roman" w:hAnsi="Times New Roman" w:eastAsia="宋体"/>
          <w:sz w:val="28"/>
          <w:szCs w:val="28"/>
        </w:rPr>
        <w:fldChar w:fldCharType="end"/>
      </w:r>
      <w:r>
        <w:rPr>
          <w:rFonts w:ascii="Times New Roman" w:hAnsi="Times New Roman" w:eastAsia="宋体"/>
          <w:sz w:val="28"/>
          <w:szCs w:val="28"/>
        </w:rPr>
        <w:t>工程</w:t>
      </w:r>
      <w:r>
        <w:rPr>
          <w:sz w:val="28"/>
          <w:szCs w:val="28"/>
        </w:rPr>
        <w:fldChar w:fldCharType="begin"/>
      </w:r>
      <w:r>
        <w:rPr>
          <w:sz w:val="28"/>
          <w:szCs w:val="28"/>
        </w:rPr>
        <w:instrText xml:space="preserve"> HYPERLINK "https://baike.baidu.com/item/%E6%8B%9B%E6%A0%87%E6%A0%87%E5%BA%95/6934047?fromModule=lemma_inlink" \t "_blank" </w:instrText>
      </w:r>
      <w:r>
        <w:rPr>
          <w:sz w:val="28"/>
          <w:szCs w:val="28"/>
        </w:rPr>
        <w:fldChar w:fldCharType="separate"/>
      </w:r>
      <w:r>
        <w:rPr>
          <w:rFonts w:ascii="Times New Roman" w:hAnsi="Times New Roman" w:eastAsia="宋体"/>
          <w:sz w:val="28"/>
          <w:szCs w:val="28"/>
        </w:rPr>
        <w:t>招标标底</w:t>
      </w:r>
      <w:r>
        <w:rPr>
          <w:rFonts w:ascii="Times New Roman" w:hAnsi="Times New Roman" w:eastAsia="宋体"/>
          <w:sz w:val="28"/>
          <w:szCs w:val="28"/>
        </w:rPr>
        <w:fldChar w:fldCharType="end"/>
      </w:r>
      <w:r>
        <w:rPr>
          <w:rFonts w:ascii="Times New Roman" w:hAnsi="Times New Roman" w:eastAsia="宋体"/>
          <w:sz w:val="28"/>
          <w:szCs w:val="28"/>
        </w:rPr>
        <w:t>、</w:t>
      </w:r>
      <w:r>
        <w:rPr>
          <w:sz w:val="28"/>
          <w:szCs w:val="28"/>
        </w:rPr>
        <w:fldChar w:fldCharType="begin"/>
      </w:r>
      <w:r>
        <w:rPr>
          <w:sz w:val="28"/>
          <w:szCs w:val="28"/>
        </w:rPr>
        <w:instrText xml:space="preserve"> HYPERLINK "https://baike.baidu.com/item/%E6%8A%95%E6%A0%87%E6%8A%A5%E4%BB%B7/3005651?fromModule=lemma_inlink" \t "_blank" </w:instrText>
      </w:r>
      <w:r>
        <w:rPr>
          <w:sz w:val="28"/>
          <w:szCs w:val="28"/>
        </w:rPr>
        <w:fldChar w:fldCharType="separate"/>
      </w:r>
      <w:r>
        <w:rPr>
          <w:rFonts w:ascii="Times New Roman" w:hAnsi="Times New Roman" w:eastAsia="宋体"/>
          <w:sz w:val="28"/>
          <w:szCs w:val="28"/>
        </w:rPr>
        <w:t>投标报价</w:t>
      </w:r>
      <w:r>
        <w:rPr>
          <w:rFonts w:ascii="Times New Roman" w:hAnsi="Times New Roman" w:eastAsia="宋体"/>
          <w:sz w:val="28"/>
          <w:szCs w:val="28"/>
        </w:rPr>
        <w:fldChar w:fldCharType="end"/>
      </w:r>
      <w:r>
        <w:rPr>
          <w:rFonts w:ascii="Times New Roman" w:hAnsi="Times New Roman" w:eastAsia="宋体"/>
          <w:sz w:val="28"/>
          <w:szCs w:val="28"/>
        </w:rPr>
        <w:t>的编制和审核；</w:t>
      </w:r>
      <w:r>
        <w:rPr>
          <w:sz w:val="28"/>
          <w:szCs w:val="28"/>
        </w:rPr>
        <w:fldChar w:fldCharType="begin"/>
      </w:r>
      <w:r>
        <w:rPr>
          <w:sz w:val="28"/>
          <w:szCs w:val="28"/>
        </w:rPr>
        <w:instrText xml:space="preserve"> HYPERLINK "https://baike.baidu.com/item/%E5%B7%A5%E7%A8%8B%E9%87%8F%E6%B8%85%E5%8D%95/9938092?fromModule=lemma_inlink" \t "_blank" </w:instrText>
      </w:r>
      <w:r>
        <w:rPr>
          <w:sz w:val="28"/>
          <w:szCs w:val="28"/>
        </w:rPr>
        <w:fldChar w:fldCharType="separate"/>
      </w:r>
      <w:r>
        <w:rPr>
          <w:rFonts w:ascii="Times New Roman" w:hAnsi="Times New Roman" w:eastAsia="宋体"/>
          <w:sz w:val="28"/>
          <w:szCs w:val="28"/>
        </w:rPr>
        <w:t>工程量清单</w:t>
      </w:r>
      <w:r>
        <w:rPr>
          <w:rFonts w:ascii="Times New Roman" w:hAnsi="Times New Roman" w:eastAsia="宋体"/>
          <w:sz w:val="28"/>
          <w:szCs w:val="28"/>
        </w:rPr>
        <w:fldChar w:fldCharType="end"/>
      </w:r>
      <w:r>
        <w:rPr>
          <w:rFonts w:ascii="Times New Roman" w:hAnsi="Times New Roman" w:eastAsia="宋体"/>
          <w:sz w:val="28"/>
          <w:szCs w:val="28"/>
        </w:rPr>
        <w:t>的编制和审核；施工</w:t>
      </w:r>
      <w:r>
        <w:rPr>
          <w:sz w:val="28"/>
          <w:szCs w:val="28"/>
        </w:rPr>
        <w:fldChar w:fldCharType="begin"/>
      </w:r>
      <w:r>
        <w:rPr>
          <w:sz w:val="28"/>
          <w:szCs w:val="28"/>
        </w:rPr>
        <w:instrText xml:space="preserve"> HYPERLINK "https://baike.baidu.com/item/%E5%90%88%E5%90%8C%E4%BB%B7%E6%AC%BE/7462652?fromModule=lemma_inlink" \t "_blank" </w:instrText>
      </w:r>
      <w:r>
        <w:rPr>
          <w:sz w:val="28"/>
          <w:szCs w:val="28"/>
        </w:rPr>
        <w:fldChar w:fldCharType="separate"/>
      </w:r>
      <w:r>
        <w:rPr>
          <w:rFonts w:ascii="Times New Roman" w:hAnsi="Times New Roman" w:eastAsia="宋体"/>
          <w:sz w:val="28"/>
          <w:szCs w:val="28"/>
        </w:rPr>
        <w:t>合同价款</w:t>
      </w:r>
      <w:r>
        <w:rPr>
          <w:rFonts w:ascii="Times New Roman" w:hAnsi="Times New Roman" w:eastAsia="宋体"/>
          <w:sz w:val="28"/>
          <w:szCs w:val="28"/>
        </w:rPr>
        <w:fldChar w:fldCharType="end"/>
      </w:r>
      <w:r>
        <w:rPr>
          <w:rFonts w:ascii="Times New Roman" w:hAnsi="Times New Roman" w:eastAsia="宋体"/>
          <w:sz w:val="28"/>
          <w:szCs w:val="28"/>
        </w:rPr>
        <w:t>的变更及索赔费用的计算；提供工程造价</w:t>
      </w:r>
      <w:r>
        <w:rPr>
          <w:sz w:val="28"/>
          <w:szCs w:val="28"/>
        </w:rPr>
        <w:fldChar w:fldCharType="begin"/>
      </w:r>
      <w:r>
        <w:rPr>
          <w:sz w:val="28"/>
          <w:szCs w:val="28"/>
        </w:rPr>
        <w:instrText xml:space="preserve"> HYPERLINK "https://baike.baidu.com/item/%E7%BB%8F%E6%B5%8E%E7%BA%A0%E7%BA%B7/9914702?fromModule=lemma_inlink" \t "_blank" </w:instrText>
      </w:r>
      <w:r>
        <w:rPr>
          <w:sz w:val="28"/>
          <w:szCs w:val="28"/>
        </w:rPr>
        <w:fldChar w:fldCharType="separate"/>
      </w:r>
      <w:r>
        <w:rPr>
          <w:rFonts w:ascii="Times New Roman" w:hAnsi="Times New Roman" w:eastAsia="宋体"/>
          <w:sz w:val="28"/>
          <w:szCs w:val="28"/>
        </w:rPr>
        <w:t>经济纠纷</w:t>
      </w:r>
      <w:r>
        <w:rPr>
          <w:rFonts w:ascii="Times New Roman" w:hAnsi="Times New Roman" w:eastAsia="宋体"/>
          <w:sz w:val="28"/>
          <w:szCs w:val="28"/>
        </w:rPr>
        <w:fldChar w:fldCharType="end"/>
      </w:r>
      <w:r>
        <w:rPr>
          <w:rFonts w:ascii="Times New Roman" w:hAnsi="Times New Roman" w:eastAsia="宋体"/>
          <w:sz w:val="28"/>
          <w:szCs w:val="28"/>
        </w:rPr>
        <w:t>的鉴定服务；提供建设工程项目全过程的造价监控与服务；提供工程造价</w:t>
      </w:r>
      <w:r>
        <w:rPr>
          <w:sz w:val="28"/>
          <w:szCs w:val="28"/>
        </w:rPr>
        <w:fldChar w:fldCharType="begin"/>
      </w:r>
      <w:r>
        <w:rPr>
          <w:sz w:val="28"/>
          <w:szCs w:val="28"/>
        </w:rPr>
        <w:instrText xml:space="preserve"> HYPERLINK "https://baike.baidu.com/item/%E4%BF%A1%E6%81%AF%E6%9C%8D%E5%8A%A1/3401196?fromModule=lemma_inlink" \t "_blank" </w:instrText>
      </w:r>
      <w:r>
        <w:rPr>
          <w:sz w:val="28"/>
          <w:szCs w:val="28"/>
        </w:rPr>
        <w:fldChar w:fldCharType="separate"/>
      </w:r>
      <w:r>
        <w:rPr>
          <w:rFonts w:ascii="Times New Roman" w:hAnsi="Times New Roman" w:eastAsia="宋体"/>
          <w:sz w:val="28"/>
          <w:szCs w:val="28"/>
        </w:rPr>
        <w:t>信息服务</w:t>
      </w:r>
      <w:r>
        <w:rPr>
          <w:rFonts w:ascii="Times New Roman" w:hAnsi="Times New Roman" w:eastAsia="宋体"/>
          <w:sz w:val="28"/>
          <w:szCs w:val="28"/>
        </w:rPr>
        <w:fldChar w:fldCharType="end"/>
      </w:r>
      <w:r>
        <w:rPr>
          <w:rFonts w:ascii="Times New Roman" w:hAnsi="Times New Roman" w:eastAsia="宋体"/>
          <w:sz w:val="28"/>
          <w:szCs w:val="28"/>
        </w:rPr>
        <w:t>等 。</w:t>
      </w:r>
    </w:p>
    <w:p w14:paraId="787B91BC">
      <w:pPr>
        <w:widowControl/>
        <w:spacing w:line="360" w:lineRule="auto"/>
        <w:ind w:firstLine="560" w:firstLineChars="200"/>
        <w:rPr>
          <w:rFonts w:ascii="Times New Roman" w:hAnsi="Times New Roman" w:eastAsia="宋体"/>
          <w:sz w:val="28"/>
          <w:szCs w:val="28"/>
        </w:rPr>
      </w:pPr>
      <w:r>
        <w:rPr>
          <w:rFonts w:ascii="Times New Roman" w:hAnsi="Times New Roman" w:eastAsia="宋体"/>
          <w:color w:val="222222"/>
          <w:kern w:val="0"/>
          <w:sz w:val="28"/>
          <w:szCs w:val="28"/>
          <w:shd w:val="clear" w:color="auto" w:fill="FFFFFF"/>
          <w:lang w:bidi="ar"/>
        </w:rPr>
        <w:t>当前，</w:t>
      </w:r>
      <w:r>
        <w:rPr>
          <w:rFonts w:hint="eastAsia" w:ascii="Times New Roman" w:hAnsi="Times New Roman" w:eastAsia="宋体"/>
          <w:color w:val="222222"/>
          <w:kern w:val="0"/>
          <w:sz w:val="28"/>
          <w:szCs w:val="28"/>
          <w:shd w:val="clear" w:color="auto" w:fill="FFFFFF"/>
          <w:lang w:bidi="ar"/>
        </w:rPr>
        <w:t>造价咨询</w:t>
      </w:r>
      <w:r>
        <w:rPr>
          <w:rFonts w:ascii="Times New Roman" w:hAnsi="Times New Roman" w:eastAsia="宋体"/>
          <w:color w:val="222222"/>
          <w:kern w:val="0"/>
          <w:sz w:val="28"/>
          <w:szCs w:val="28"/>
          <w:shd w:val="clear" w:color="auto" w:fill="FFFFFF"/>
          <w:lang w:bidi="ar"/>
        </w:rPr>
        <w:t>行业的总体格局呈现出以</w:t>
      </w:r>
      <w:r>
        <w:rPr>
          <w:rFonts w:hint="eastAsia" w:ascii="Times New Roman" w:hAnsi="Times New Roman" w:eastAsia="宋体"/>
          <w:color w:val="222222"/>
          <w:kern w:val="0"/>
          <w:sz w:val="28"/>
          <w:szCs w:val="28"/>
          <w:shd w:val="clear" w:color="auto" w:fill="FFFFFF"/>
          <w:lang w:bidi="ar"/>
        </w:rPr>
        <w:t>北京、上海、浙江等先发地区企业</w:t>
      </w:r>
      <w:r>
        <w:rPr>
          <w:rFonts w:ascii="Times New Roman" w:hAnsi="Times New Roman" w:eastAsia="宋体"/>
          <w:color w:val="222222"/>
          <w:kern w:val="0"/>
          <w:sz w:val="28"/>
          <w:szCs w:val="28"/>
          <w:shd w:val="clear" w:color="auto" w:fill="FFFFFF"/>
          <w:lang w:bidi="ar"/>
        </w:rPr>
        <w:t>为行业龙头，</w:t>
      </w:r>
      <w:r>
        <w:rPr>
          <w:rFonts w:hint="eastAsia" w:ascii="Times New Roman" w:hAnsi="Times New Roman" w:eastAsia="宋体"/>
          <w:color w:val="222222"/>
          <w:kern w:val="0"/>
          <w:sz w:val="28"/>
          <w:szCs w:val="28"/>
          <w:shd w:val="clear" w:color="auto" w:fill="FFFFFF"/>
          <w:lang w:bidi="ar"/>
        </w:rPr>
        <w:t>其中前10强企业8家在北京</w:t>
      </w:r>
      <w:r>
        <w:rPr>
          <w:rFonts w:ascii="Times New Roman" w:hAnsi="Times New Roman" w:eastAsia="宋体"/>
          <w:color w:val="222222"/>
          <w:kern w:val="0"/>
          <w:sz w:val="28"/>
          <w:szCs w:val="28"/>
          <w:shd w:val="clear" w:color="auto" w:fill="FFFFFF"/>
          <w:lang w:bidi="ar"/>
        </w:rPr>
        <w:t>，</w:t>
      </w:r>
      <w:r>
        <w:rPr>
          <w:rFonts w:hint="eastAsia" w:ascii="Times New Roman" w:hAnsi="Times New Roman" w:eastAsia="宋体"/>
          <w:sz w:val="28"/>
          <w:szCs w:val="28"/>
        </w:rPr>
        <w:t>主要因行业</w:t>
      </w:r>
      <w:r>
        <w:rPr>
          <w:rFonts w:ascii="Times New Roman" w:hAnsi="Times New Roman" w:eastAsia="宋体"/>
          <w:sz w:val="28"/>
          <w:szCs w:val="28"/>
        </w:rPr>
        <w:t>影响力占据更多市场份额</w:t>
      </w:r>
      <w:r>
        <w:rPr>
          <w:rFonts w:hint="eastAsia" w:ascii="Times New Roman" w:hAnsi="Times New Roman" w:eastAsia="宋体"/>
          <w:sz w:val="28"/>
          <w:szCs w:val="28"/>
        </w:rPr>
        <w:t>。安徽省造价咨询企业总体竞争力不强，全国收入排序200强，安徽仅占5席(均在合肥)，</w:t>
      </w:r>
      <w:r>
        <w:rPr>
          <w:rFonts w:ascii="Times New Roman" w:hAnsi="Times New Roman" w:eastAsia="宋体"/>
          <w:sz w:val="28"/>
          <w:szCs w:val="28"/>
        </w:rPr>
        <w:t>各地</w:t>
      </w:r>
      <w:r>
        <w:rPr>
          <w:rFonts w:hint="eastAsia" w:ascii="Times New Roman" w:hAnsi="Times New Roman" w:eastAsia="宋体"/>
          <w:sz w:val="28"/>
          <w:szCs w:val="28"/>
        </w:rPr>
        <w:t>企业</w:t>
      </w:r>
      <w:r>
        <w:rPr>
          <w:rFonts w:ascii="Times New Roman" w:hAnsi="Times New Roman" w:eastAsia="宋体"/>
          <w:sz w:val="28"/>
          <w:szCs w:val="28"/>
        </w:rPr>
        <w:t>竞争</w:t>
      </w:r>
      <w:r>
        <w:rPr>
          <w:rFonts w:ascii="Times New Roman" w:hAnsi="Times New Roman" w:eastAsia="宋体"/>
          <w:color w:val="222222"/>
          <w:kern w:val="0"/>
          <w:sz w:val="28"/>
          <w:szCs w:val="28"/>
          <w:shd w:val="clear" w:color="auto" w:fill="FFFFFF"/>
          <w:lang w:bidi="ar"/>
        </w:rPr>
        <w:t>激烈</w:t>
      </w:r>
      <w:r>
        <w:rPr>
          <w:rFonts w:ascii="Times New Roman" w:hAnsi="Times New Roman" w:eastAsia="宋体"/>
          <w:color w:val="222222"/>
          <w:kern w:val="0"/>
          <w:sz w:val="28"/>
          <w:szCs w:val="28"/>
          <w:shd w:val="clear" w:color="auto" w:fill="FFFFFF"/>
          <w:lang w:val="en" w:bidi="ar"/>
        </w:rPr>
        <w:t>, 中小型</w:t>
      </w:r>
      <w:r>
        <w:rPr>
          <w:rFonts w:hint="eastAsia" w:ascii="Times New Roman" w:hAnsi="Times New Roman" w:eastAsia="宋体"/>
          <w:color w:val="222222"/>
          <w:kern w:val="0"/>
          <w:sz w:val="28"/>
          <w:szCs w:val="28"/>
          <w:shd w:val="clear" w:color="auto" w:fill="FFFFFF"/>
          <w:lang w:val="en" w:bidi="ar"/>
        </w:rPr>
        <w:t>造价咨询</w:t>
      </w:r>
      <w:r>
        <w:rPr>
          <w:rFonts w:hint="eastAsia" w:ascii="Times New Roman" w:hAnsi="Times New Roman" w:eastAsia="宋体"/>
          <w:color w:val="222222"/>
          <w:kern w:val="0"/>
          <w:sz w:val="28"/>
          <w:szCs w:val="28"/>
          <w:shd w:val="clear" w:color="auto" w:fill="FFFFFF"/>
          <w:lang w:val="en-US" w:eastAsia="zh-CN" w:bidi="ar"/>
        </w:rPr>
        <w:t>企业</w:t>
      </w:r>
      <w:r>
        <w:rPr>
          <w:rFonts w:ascii="Times New Roman" w:hAnsi="Times New Roman" w:eastAsia="宋体"/>
          <w:color w:val="222222"/>
          <w:kern w:val="0"/>
          <w:sz w:val="28"/>
          <w:szCs w:val="28"/>
          <w:shd w:val="clear" w:color="auto" w:fill="FFFFFF"/>
          <w:lang w:val="en" w:bidi="ar"/>
        </w:rPr>
        <w:t>面临破产或者被合并现象</w:t>
      </w:r>
      <w:r>
        <w:rPr>
          <w:rFonts w:ascii="Times New Roman" w:hAnsi="Times New Roman" w:eastAsia="宋体"/>
          <w:color w:val="222222"/>
          <w:kern w:val="0"/>
          <w:sz w:val="28"/>
          <w:szCs w:val="28"/>
          <w:shd w:val="clear" w:color="auto" w:fill="FFFFFF"/>
          <w:lang w:bidi="ar"/>
        </w:rPr>
        <w:t>。</w:t>
      </w:r>
    </w:p>
    <w:p w14:paraId="29714B2F">
      <w:pPr>
        <w:widowControl/>
        <w:spacing w:line="360" w:lineRule="auto"/>
        <w:ind w:firstLine="560" w:firstLineChars="200"/>
        <w:rPr>
          <w:rFonts w:ascii="Times New Roman" w:hAnsi="Times New Roman" w:eastAsia="宋体"/>
          <w:color w:val="222222"/>
          <w:kern w:val="0"/>
          <w:sz w:val="28"/>
          <w:szCs w:val="28"/>
          <w:shd w:val="clear" w:color="auto" w:fill="FFFFFF"/>
          <w:lang w:bidi="ar"/>
        </w:rPr>
      </w:pPr>
      <w:r>
        <w:rPr>
          <w:rFonts w:ascii="Times New Roman" w:hAnsi="Times New Roman" w:eastAsia="宋体"/>
          <w:color w:val="222222"/>
          <w:kern w:val="0"/>
          <w:sz w:val="28"/>
          <w:szCs w:val="28"/>
          <w:shd w:val="clear" w:color="auto" w:fill="FFFFFF"/>
          <w:lang w:bidi="ar"/>
        </w:rPr>
        <w:t>随着科技的进步和信息化水平的提高，‌</w:t>
      </w:r>
      <w:r>
        <w:rPr>
          <w:rFonts w:hint="eastAsia" w:ascii="Times New Roman" w:hAnsi="Times New Roman" w:eastAsia="宋体"/>
          <w:color w:val="222222"/>
          <w:kern w:val="0"/>
          <w:sz w:val="28"/>
          <w:szCs w:val="28"/>
          <w:shd w:val="clear" w:color="auto" w:fill="FFFFFF"/>
          <w:lang w:bidi="ar"/>
        </w:rPr>
        <w:t>造价咨询</w:t>
      </w:r>
      <w:r>
        <w:rPr>
          <w:rFonts w:hint="eastAsia" w:ascii="Times New Roman" w:hAnsi="Times New Roman" w:eastAsia="宋体"/>
          <w:color w:val="222222"/>
          <w:kern w:val="0"/>
          <w:sz w:val="28"/>
          <w:szCs w:val="28"/>
          <w:shd w:val="clear" w:color="auto" w:fill="FFFFFF"/>
          <w:lang w:val="en-US" w:eastAsia="zh-CN" w:bidi="ar"/>
        </w:rPr>
        <w:t>企业</w:t>
      </w:r>
      <w:r>
        <w:rPr>
          <w:rFonts w:ascii="Times New Roman" w:hAnsi="Times New Roman" w:eastAsia="宋体"/>
          <w:color w:val="222222"/>
          <w:kern w:val="0"/>
          <w:sz w:val="28"/>
          <w:szCs w:val="28"/>
          <w:shd w:val="clear" w:color="auto" w:fill="FFFFFF"/>
          <w:lang w:bidi="ar"/>
        </w:rPr>
        <w:t>也在不断探索新的服务模式和技术手段，‌以提高服务效率和质量。‌例如，</w:t>
      </w:r>
      <w:r>
        <w:rPr>
          <w:rFonts w:hint="eastAsia" w:ascii="Times New Roman" w:hAnsi="Times New Roman" w:eastAsia="宋体"/>
          <w:color w:val="222222"/>
          <w:kern w:val="0"/>
          <w:sz w:val="28"/>
          <w:szCs w:val="28"/>
          <w:shd w:val="clear" w:color="auto" w:fill="FFFFFF"/>
          <w:lang w:bidi="ar"/>
        </w:rPr>
        <w:t>大数据应用</w:t>
      </w:r>
      <w:r>
        <w:rPr>
          <w:rFonts w:ascii="Times New Roman" w:hAnsi="Times New Roman" w:eastAsia="宋体"/>
          <w:color w:val="222222"/>
          <w:kern w:val="0"/>
          <w:sz w:val="28"/>
          <w:szCs w:val="28"/>
          <w:shd w:val="clear" w:color="auto" w:fill="FFFFFF"/>
          <w:lang w:bidi="ar"/>
        </w:rPr>
        <w:t>、‌</w:t>
      </w:r>
      <w:r>
        <w:rPr>
          <w:rFonts w:hint="eastAsia" w:ascii="Times New Roman" w:hAnsi="Times New Roman" w:eastAsia="宋体"/>
          <w:color w:val="222222"/>
          <w:kern w:val="0"/>
          <w:sz w:val="28"/>
          <w:szCs w:val="28"/>
          <w:shd w:val="clear" w:color="auto" w:fill="FFFFFF"/>
          <w:lang w:bidi="ar"/>
        </w:rPr>
        <w:t>云计算服务</w:t>
      </w:r>
      <w:r>
        <w:rPr>
          <w:rFonts w:ascii="Times New Roman" w:hAnsi="Times New Roman" w:eastAsia="宋体"/>
          <w:color w:val="222222"/>
          <w:kern w:val="0"/>
          <w:sz w:val="28"/>
          <w:szCs w:val="28"/>
          <w:shd w:val="clear" w:color="auto" w:fill="FFFFFF"/>
          <w:lang w:bidi="ar"/>
        </w:rPr>
        <w:t>、‌</w:t>
      </w:r>
      <w:r>
        <w:rPr>
          <w:rFonts w:hint="eastAsia" w:ascii="Times New Roman" w:hAnsi="Times New Roman" w:eastAsia="宋体"/>
          <w:color w:val="222222"/>
          <w:kern w:val="0"/>
          <w:sz w:val="28"/>
          <w:szCs w:val="28"/>
          <w:shd w:val="clear" w:color="auto" w:fill="FFFFFF"/>
          <w:lang w:bidi="ar"/>
        </w:rPr>
        <w:t>BIM技术、无人机技术</w:t>
      </w:r>
      <w:r>
        <w:rPr>
          <w:rFonts w:ascii="Times New Roman" w:hAnsi="Times New Roman" w:eastAsia="宋体"/>
          <w:color w:val="222222"/>
          <w:kern w:val="0"/>
          <w:sz w:val="28"/>
          <w:szCs w:val="28"/>
          <w:shd w:val="clear" w:color="auto" w:fill="FFFFFF"/>
          <w:lang w:bidi="ar"/>
        </w:rPr>
        <w:t>等</w:t>
      </w:r>
      <w:r>
        <w:rPr>
          <w:rFonts w:hint="eastAsia" w:ascii="Times New Roman" w:hAnsi="Times New Roman" w:eastAsia="宋体"/>
          <w:color w:val="222222"/>
          <w:kern w:val="0"/>
          <w:sz w:val="28"/>
          <w:szCs w:val="28"/>
          <w:shd w:val="clear" w:color="auto" w:fill="FFFFFF"/>
          <w:lang w:bidi="ar"/>
        </w:rPr>
        <w:t>在造价咨询工作中得到广泛</w:t>
      </w:r>
      <w:r>
        <w:rPr>
          <w:rFonts w:ascii="Times New Roman" w:hAnsi="Times New Roman" w:eastAsia="宋体"/>
          <w:color w:val="222222"/>
          <w:kern w:val="0"/>
          <w:sz w:val="28"/>
          <w:szCs w:val="28"/>
          <w:shd w:val="clear" w:color="auto" w:fill="FFFFFF"/>
          <w:lang w:bidi="ar"/>
        </w:rPr>
        <w:t>应用，‌使得</w:t>
      </w:r>
      <w:r>
        <w:rPr>
          <w:rFonts w:hint="eastAsia" w:ascii="Times New Roman" w:hAnsi="Times New Roman" w:eastAsia="宋体"/>
          <w:color w:val="222222"/>
          <w:kern w:val="0"/>
          <w:sz w:val="28"/>
          <w:szCs w:val="28"/>
          <w:shd w:val="clear" w:color="auto" w:fill="FFFFFF"/>
          <w:lang w:bidi="ar"/>
        </w:rPr>
        <w:t>造价咨询</w:t>
      </w:r>
      <w:r>
        <w:rPr>
          <w:rFonts w:ascii="Times New Roman" w:hAnsi="Times New Roman" w:eastAsia="宋体"/>
          <w:color w:val="222222"/>
          <w:kern w:val="0"/>
          <w:sz w:val="28"/>
          <w:szCs w:val="28"/>
          <w:shd w:val="clear" w:color="auto" w:fill="FFFFFF"/>
          <w:lang w:bidi="ar"/>
        </w:rPr>
        <w:t>服务更加智能化、‌自动化和高效化，‌为</w:t>
      </w:r>
      <w:r>
        <w:rPr>
          <w:rFonts w:hint="eastAsia" w:ascii="Times New Roman" w:hAnsi="Times New Roman" w:eastAsia="宋体"/>
          <w:color w:val="222222"/>
          <w:kern w:val="0"/>
          <w:sz w:val="28"/>
          <w:szCs w:val="28"/>
          <w:shd w:val="clear" w:color="auto" w:fill="FFFFFF"/>
          <w:lang w:bidi="ar"/>
        </w:rPr>
        <w:t>造价咨询企业</w:t>
      </w:r>
      <w:r>
        <w:rPr>
          <w:rFonts w:ascii="Times New Roman" w:hAnsi="Times New Roman" w:eastAsia="宋体"/>
          <w:color w:val="222222"/>
          <w:kern w:val="0"/>
          <w:sz w:val="28"/>
          <w:szCs w:val="28"/>
          <w:shd w:val="clear" w:color="auto" w:fill="FFFFFF"/>
          <w:lang w:bidi="ar"/>
        </w:rPr>
        <w:t>的发展注入了新的活力。</w:t>
      </w:r>
      <w:r>
        <w:rPr>
          <w:rFonts w:ascii="Times New Roman" w:hAnsi="Times New Roman" w:eastAsia="宋体"/>
          <w:color w:val="333333"/>
          <w:sz w:val="28"/>
          <w:szCs w:val="28"/>
          <w:shd w:val="clear" w:color="auto" w:fill="FFFFFF"/>
        </w:rPr>
        <w:t>‌</w:t>
      </w:r>
    </w:p>
    <w:p w14:paraId="0A864DCC">
      <w:pPr>
        <w:spacing w:line="360" w:lineRule="auto"/>
        <w:ind w:firstLine="562" w:firstLineChars="200"/>
        <w:jc w:val="left"/>
        <w:rPr>
          <w:rFonts w:ascii="Times New Roman" w:hAnsi="Times New Roman" w:eastAsia="宋体" w:cs="Times New Roman"/>
          <w:b/>
          <w:bCs/>
          <w:color w:val="222222"/>
          <w:kern w:val="0"/>
          <w:sz w:val="28"/>
          <w:szCs w:val="28"/>
          <w:shd w:val="clear" w:color="auto" w:fill="FFFFFF"/>
          <w:lang w:bidi="ar"/>
        </w:rPr>
      </w:pPr>
      <w:r>
        <w:rPr>
          <w:rFonts w:ascii="Times New Roman" w:hAnsi="Times New Roman" w:eastAsia="宋体" w:cs="Times New Roman"/>
          <w:b/>
          <w:bCs/>
          <w:color w:val="222222"/>
          <w:kern w:val="0"/>
          <w:sz w:val="28"/>
          <w:szCs w:val="28"/>
          <w:shd w:val="clear" w:color="auto" w:fill="FFFFFF"/>
          <w:lang w:bidi="ar"/>
        </w:rPr>
        <w:t>（三）市场趋势。</w:t>
      </w:r>
    </w:p>
    <w:p w14:paraId="6D92DB9C">
      <w:pPr>
        <w:spacing w:line="360" w:lineRule="auto"/>
        <w:ind w:firstLine="562" w:firstLineChars="200"/>
        <w:jc w:val="left"/>
        <w:rPr>
          <w:rFonts w:ascii="Times New Roman" w:hAnsi="Times New Roman" w:eastAsia="宋体"/>
          <w:b/>
          <w:bCs/>
          <w:color w:val="222222"/>
          <w:kern w:val="0"/>
          <w:sz w:val="28"/>
          <w:szCs w:val="28"/>
          <w:shd w:val="clear" w:color="auto" w:fill="FFFFFF"/>
          <w:lang w:bidi="ar"/>
        </w:rPr>
      </w:pPr>
      <w:r>
        <w:rPr>
          <w:rFonts w:hint="eastAsia" w:ascii="Times New Roman" w:hAnsi="Times New Roman" w:eastAsia="宋体"/>
          <w:b/>
          <w:bCs/>
          <w:color w:val="222222"/>
          <w:kern w:val="0"/>
          <w:sz w:val="28"/>
          <w:szCs w:val="28"/>
          <w:shd w:val="clear" w:color="auto" w:fill="FFFFFF"/>
          <w:lang w:val="en-US" w:eastAsia="zh-CN" w:bidi="ar"/>
        </w:rPr>
        <w:t>1.</w:t>
      </w:r>
      <w:r>
        <w:rPr>
          <w:rFonts w:ascii="Times New Roman" w:hAnsi="Times New Roman" w:eastAsia="宋体"/>
          <w:b/>
          <w:bCs/>
          <w:color w:val="222222"/>
          <w:kern w:val="0"/>
          <w:sz w:val="28"/>
          <w:szCs w:val="28"/>
          <w:shd w:val="clear" w:color="auto" w:fill="FFFFFF"/>
          <w:lang w:bidi="ar"/>
        </w:rPr>
        <w:t>全过程咨询与集成化服务趋势明显</w:t>
      </w:r>
      <w:r>
        <w:rPr>
          <w:rFonts w:hint="eastAsia" w:ascii="Times New Roman" w:hAnsi="Times New Roman" w:eastAsia="宋体"/>
          <w:b/>
          <w:bCs/>
          <w:color w:val="222222"/>
          <w:kern w:val="0"/>
          <w:sz w:val="28"/>
          <w:szCs w:val="28"/>
          <w:shd w:val="clear" w:color="auto" w:fill="FFFFFF"/>
          <w:lang w:eastAsia="zh-CN" w:bidi="ar"/>
        </w:rPr>
        <w:t>。</w:t>
      </w:r>
      <w:r>
        <w:rPr>
          <w:rFonts w:ascii="Times New Roman" w:hAnsi="Times New Roman" w:eastAsia="宋体"/>
          <w:b/>
          <w:bCs/>
          <w:color w:val="222222"/>
          <w:kern w:val="0"/>
          <w:sz w:val="28"/>
          <w:szCs w:val="28"/>
          <w:shd w:val="clear" w:color="auto" w:fill="FFFFFF"/>
          <w:lang w:bidi="ar"/>
        </w:rPr>
        <w:t> </w:t>
      </w:r>
    </w:p>
    <w:p w14:paraId="09B2CE8E">
      <w:pPr>
        <w:spacing w:line="360" w:lineRule="auto"/>
        <w:ind w:firstLine="560" w:firstLineChars="200"/>
        <w:jc w:val="left"/>
        <w:rPr>
          <w:rFonts w:ascii="Times New Roman" w:hAnsi="Times New Roman" w:eastAsia="宋体"/>
          <w:color w:val="222222"/>
          <w:kern w:val="0"/>
          <w:sz w:val="28"/>
          <w:szCs w:val="28"/>
          <w:shd w:val="clear" w:color="auto" w:fill="FFFFFF"/>
          <w:lang w:bidi="ar"/>
        </w:rPr>
      </w:pPr>
      <w:r>
        <w:rPr>
          <w:rFonts w:ascii="Times New Roman" w:hAnsi="Times New Roman" w:eastAsia="宋体"/>
          <w:color w:val="222222"/>
          <w:kern w:val="0"/>
          <w:sz w:val="28"/>
          <w:szCs w:val="28"/>
          <w:shd w:val="clear" w:color="auto" w:fill="FFFFFF"/>
          <w:lang w:bidi="ar"/>
        </w:rPr>
        <w:t>提供全过程造价咨询服务：涵盖项目前期决策、设计、招标、施工、竣工结算</w:t>
      </w:r>
      <w:r>
        <w:rPr>
          <w:rFonts w:hint="eastAsia" w:ascii="Times New Roman" w:hAnsi="Times New Roman" w:eastAsia="宋体"/>
          <w:color w:val="222222"/>
          <w:kern w:val="0"/>
          <w:sz w:val="28"/>
          <w:szCs w:val="28"/>
          <w:shd w:val="clear" w:color="auto" w:fill="FFFFFF"/>
          <w:lang w:eastAsia="zh-CN" w:bidi="ar"/>
        </w:rPr>
        <w:t>、</w:t>
      </w:r>
      <w:r>
        <w:rPr>
          <w:rFonts w:hint="eastAsia" w:ascii="Times New Roman" w:hAnsi="Times New Roman" w:eastAsia="宋体"/>
          <w:color w:val="222222"/>
          <w:kern w:val="0"/>
          <w:sz w:val="28"/>
          <w:szCs w:val="28"/>
          <w:shd w:val="clear" w:color="auto" w:fill="FFFFFF"/>
          <w:lang w:val="en-US" w:eastAsia="zh-CN" w:bidi="ar"/>
        </w:rPr>
        <w:t>运维</w:t>
      </w:r>
      <w:r>
        <w:rPr>
          <w:rFonts w:ascii="Times New Roman" w:hAnsi="Times New Roman" w:eastAsia="宋体"/>
          <w:color w:val="222222"/>
          <w:kern w:val="0"/>
          <w:sz w:val="28"/>
          <w:szCs w:val="28"/>
          <w:shd w:val="clear" w:color="auto" w:fill="FFFFFF"/>
          <w:lang w:bidi="ar"/>
        </w:rPr>
        <w:t>等各个阶段的全过程造价咨询服务，实现项目造价的全生命周期管理，通过对各个阶段造价的有效控制和优化，为客户提供全面、系统的造价解决方案，提高项目投资效益。</w:t>
      </w:r>
    </w:p>
    <w:p w14:paraId="641C80D2">
      <w:pPr>
        <w:widowControl/>
        <w:spacing w:line="360" w:lineRule="auto"/>
        <w:ind w:firstLine="560" w:firstLineChars="200"/>
        <w:rPr>
          <w:rFonts w:hint="eastAsia" w:ascii="Times New Roman" w:hAnsi="Times New Roman" w:eastAsia="宋体"/>
          <w:color w:val="222222"/>
          <w:kern w:val="0"/>
          <w:sz w:val="28"/>
          <w:szCs w:val="28"/>
          <w:shd w:val="clear" w:color="auto" w:fill="FFFFFF"/>
          <w:lang w:eastAsia="zh-CN" w:bidi="ar"/>
        </w:rPr>
      </w:pPr>
      <w:r>
        <w:rPr>
          <w:rFonts w:ascii="Times New Roman" w:hAnsi="Times New Roman" w:eastAsia="宋体"/>
          <w:color w:val="222222"/>
          <w:kern w:val="0"/>
          <w:sz w:val="28"/>
          <w:szCs w:val="28"/>
          <w:shd w:val="clear" w:color="auto" w:fill="FFFFFF"/>
          <w:lang w:bidi="ar"/>
        </w:rPr>
        <w:t>多专业集成融合：造价咨询</w:t>
      </w:r>
      <w:r>
        <w:rPr>
          <w:rFonts w:hint="eastAsia" w:ascii="Times New Roman" w:hAnsi="Times New Roman" w:eastAsia="宋体"/>
          <w:color w:val="222222"/>
          <w:kern w:val="0"/>
          <w:sz w:val="28"/>
          <w:szCs w:val="28"/>
          <w:shd w:val="clear" w:color="auto" w:fill="FFFFFF"/>
          <w:lang w:val="en-US" w:eastAsia="zh-CN" w:bidi="ar"/>
        </w:rPr>
        <w:t>企业</w:t>
      </w:r>
      <w:r>
        <w:rPr>
          <w:rFonts w:ascii="Times New Roman" w:hAnsi="Times New Roman" w:eastAsia="宋体"/>
          <w:color w:val="222222"/>
          <w:kern w:val="0"/>
          <w:sz w:val="28"/>
          <w:szCs w:val="28"/>
          <w:shd w:val="clear" w:color="auto" w:fill="FFFFFF"/>
          <w:lang w:bidi="ar"/>
        </w:rPr>
        <w:t>不再局限于造价业务，而是与工程设计、项目管理、法律咨询等其他专业领域融合，提供集成化服务。例如，在项目前期为客户提供设计方案的造价优化建议，施工过程中协同项目管理团队进行成本控制和进度管理，提供一站式综合服务，增强市场竞争力。</w:t>
      </w:r>
    </w:p>
    <w:p w14:paraId="5EBF0CCD">
      <w:pPr>
        <w:widowControl/>
        <w:spacing w:line="360" w:lineRule="auto"/>
        <w:ind w:firstLine="562" w:firstLineChars="200"/>
        <w:rPr>
          <w:rFonts w:hint="eastAsia" w:ascii="Times New Roman" w:hAnsi="Times New Roman" w:eastAsia="宋体"/>
          <w:b/>
          <w:bCs/>
          <w:color w:val="222222"/>
          <w:kern w:val="0"/>
          <w:sz w:val="28"/>
          <w:szCs w:val="28"/>
          <w:shd w:val="clear" w:color="auto" w:fill="FFFFFF"/>
          <w:lang w:eastAsia="zh-CN" w:bidi="ar"/>
        </w:rPr>
      </w:pPr>
      <w:r>
        <w:rPr>
          <w:rFonts w:hint="eastAsia" w:ascii="Times New Roman" w:hAnsi="Times New Roman" w:eastAsia="宋体"/>
          <w:b/>
          <w:bCs/>
          <w:color w:val="222222"/>
          <w:kern w:val="0"/>
          <w:sz w:val="28"/>
          <w:szCs w:val="28"/>
          <w:shd w:val="clear" w:color="auto" w:fill="FFFFFF"/>
          <w:lang w:val="en-US" w:eastAsia="zh-CN" w:bidi="ar"/>
        </w:rPr>
        <w:t>2.</w:t>
      </w:r>
      <w:r>
        <w:rPr>
          <w:rFonts w:ascii="Times New Roman" w:hAnsi="Times New Roman" w:eastAsia="宋体"/>
          <w:b/>
          <w:bCs/>
          <w:color w:val="222222"/>
          <w:kern w:val="0"/>
          <w:sz w:val="28"/>
          <w:szCs w:val="28"/>
          <w:shd w:val="clear" w:color="auto" w:fill="FFFFFF"/>
          <w:lang w:bidi="ar"/>
        </w:rPr>
        <w:t>信息化与数字化加速推进</w:t>
      </w:r>
      <w:r>
        <w:rPr>
          <w:rFonts w:hint="eastAsia" w:ascii="Times New Roman" w:hAnsi="Times New Roman" w:eastAsia="宋体"/>
          <w:b/>
          <w:bCs/>
          <w:color w:val="222222"/>
          <w:kern w:val="0"/>
          <w:sz w:val="28"/>
          <w:szCs w:val="28"/>
          <w:shd w:val="clear" w:color="auto" w:fill="FFFFFF"/>
          <w:lang w:eastAsia="zh-CN" w:bidi="ar"/>
        </w:rPr>
        <w:t>。</w:t>
      </w:r>
    </w:p>
    <w:p w14:paraId="5738CF3F">
      <w:pPr>
        <w:widowControl/>
        <w:spacing w:line="360" w:lineRule="auto"/>
        <w:ind w:firstLine="560" w:firstLineChars="200"/>
        <w:rPr>
          <w:rFonts w:hint="eastAsia" w:ascii="Times New Roman" w:hAnsi="Times New Roman" w:eastAsia="宋体"/>
          <w:color w:val="222222"/>
          <w:kern w:val="0"/>
          <w:sz w:val="28"/>
          <w:szCs w:val="28"/>
          <w:shd w:val="clear" w:color="auto" w:fill="FFFFFF"/>
          <w:lang w:eastAsia="zh-CN" w:bidi="ar"/>
        </w:rPr>
      </w:pPr>
      <w:r>
        <w:rPr>
          <w:rFonts w:ascii="Times New Roman" w:hAnsi="Times New Roman" w:eastAsia="宋体"/>
          <w:color w:val="222222"/>
          <w:kern w:val="0"/>
          <w:sz w:val="28"/>
          <w:szCs w:val="28"/>
          <w:shd w:val="clear" w:color="auto" w:fill="FFFFFF"/>
          <w:lang w:bidi="ar"/>
        </w:rPr>
        <w:t>大数据应用广泛：通过收集、整理和分析大量工程造价数据，包括项目成本数据、市场价格信息、工程指标等，能够获取更精准的造价指标和市场趋势，为造价估算、成本控制和决策提供有力支持</w:t>
      </w:r>
      <w:r>
        <w:rPr>
          <w:rFonts w:hint="eastAsia" w:ascii="Times New Roman" w:hAnsi="Times New Roman" w:eastAsia="宋体"/>
          <w:color w:val="222222"/>
          <w:kern w:val="0"/>
          <w:sz w:val="28"/>
          <w:szCs w:val="28"/>
          <w:shd w:val="clear" w:color="auto" w:fill="FFFFFF"/>
          <w:lang w:bidi="ar"/>
        </w:rPr>
        <w:t>。</w:t>
      </w:r>
      <w:r>
        <w:rPr>
          <w:rFonts w:ascii="Times New Roman" w:hAnsi="Times New Roman" w:eastAsia="宋体"/>
          <w:color w:val="222222"/>
          <w:kern w:val="0"/>
          <w:sz w:val="28"/>
          <w:szCs w:val="28"/>
          <w:shd w:val="clear" w:color="auto" w:fill="FFFFFF"/>
          <w:lang w:bidi="ar"/>
        </w:rPr>
        <w:t>云计算助力资源共享与协作：云计算平台使造价咨询</w:t>
      </w:r>
      <w:r>
        <w:rPr>
          <w:rFonts w:hint="eastAsia" w:ascii="Times New Roman" w:hAnsi="Times New Roman" w:eastAsia="宋体"/>
          <w:color w:val="222222"/>
          <w:kern w:val="0"/>
          <w:sz w:val="28"/>
          <w:szCs w:val="28"/>
          <w:shd w:val="clear" w:color="auto" w:fill="FFFFFF"/>
          <w:lang w:val="en-US" w:eastAsia="zh-CN" w:bidi="ar"/>
        </w:rPr>
        <w:t>企业</w:t>
      </w:r>
      <w:r>
        <w:rPr>
          <w:rFonts w:ascii="Times New Roman" w:hAnsi="Times New Roman" w:eastAsia="宋体"/>
          <w:color w:val="222222"/>
          <w:kern w:val="0"/>
          <w:sz w:val="28"/>
          <w:szCs w:val="28"/>
          <w:shd w:val="clear" w:color="auto" w:fill="FFFFFF"/>
          <w:lang w:bidi="ar"/>
        </w:rPr>
        <w:t>可以实现资源共享和灵活调配，</w:t>
      </w:r>
      <w:r>
        <w:rPr>
          <w:rFonts w:hint="eastAsia" w:ascii="Times New Roman" w:hAnsi="Times New Roman" w:eastAsia="宋体"/>
          <w:color w:val="222222"/>
          <w:kern w:val="0"/>
          <w:sz w:val="28"/>
          <w:szCs w:val="28"/>
          <w:shd w:val="clear" w:color="auto" w:fill="FFFFFF"/>
          <w:lang w:bidi="ar"/>
        </w:rPr>
        <w:t>可</w:t>
      </w:r>
      <w:r>
        <w:rPr>
          <w:rFonts w:ascii="Times New Roman" w:hAnsi="Times New Roman" w:eastAsia="宋体"/>
          <w:color w:val="222222"/>
          <w:kern w:val="0"/>
          <w:sz w:val="28"/>
          <w:szCs w:val="28"/>
          <w:shd w:val="clear" w:color="auto" w:fill="FFFFFF"/>
          <w:lang w:bidi="ar"/>
        </w:rPr>
        <w:t>随时随地访问和处理项目数据，提高工作效率和协作能力，并且云计算强大的计算能力可支持复杂的造价分析和模拟计算。BIM技术深度融合：BIM技术在造价咨询中的应用不断深化，从最初的三维建模发展到全生命周期的造价管理应用。在设计阶段可进行精确工程量计算和成本估算；施工阶段能实时监控工程进度和成本支出，实现动态造价控制；运</w:t>
      </w:r>
      <w:r>
        <w:rPr>
          <w:rFonts w:hint="eastAsia" w:ascii="Times New Roman" w:hAnsi="Times New Roman" w:eastAsia="宋体"/>
          <w:color w:val="222222"/>
          <w:kern w:val="0"/>
          <w:sz w:val="28"/>
          <w:szCs w:val="28"/>
          <w:shd w:val="clear" w:color="auto" w:fill="FFFFFF"/>
          <w:lang w:val="en-US" w:eastAsia="zh-CN" w:bidi="ar"/>
        </w:rPr>
        <w:t>维</w:t>
      </w:r>
      <w:r>
        <w:rPr>
          <w:rFonts w:ascii="Times New Roman" w:hAnsi="Times New Roman" w:eastAsia="宋体"/>
          <w:color w:val="222222"/>
          <w:kern w:val="0"/>
          <w:sz w:val="28"/>
          <w:szCs w:val="28"/>
          <w:shd w:val="clear" w:color="auto" w:fill="FFFFFF"/>
          <w:lang w:bidi="ar"/>
        </w:rPr>
        <w:t>阶段可为设施管理和维护提供准确造价信息支持。自动化算量技术发展：利用图像识别、三维扫描等技术实现工程量计算自动化。</w:t>
      </w:r>
    </w:p>
    <w:p w14:paraId="24157243">
      <w:pPr>
        <w:widowControl/>
        <w:spacing w:line="360" w:lineRule="auto"/>
        <w:ind w:firstLine="562" w:firstLineChars="200"/>
        <w:rPr>
          <w:rFonts w:hint="eastAsia" w:ascii="Times New Roman" w:hAnsi="Times New Roman" w:eastAsia="宋体"/>
          <w:b/>
          <w:bCs/>
          <w:color w:val="222222"/>
          <w:kern w:val="0"/>
          <w:sz w:val="28"/>
          <w:szCs w:val="28"/>
          <w:shd w:val="clear" w:color="auto" w:fill="FFFFFF"/>
          <w:lang w:eastAsia="zh-CN" w:bidi="ar"/>
        </w:rPr>
      </w:pPr>
      <w:r>
        <w:rPr>
          <w:rFonts w:hint="eastAsia" w:ascii="Times New Roman" w:hAnsi="Times New Roman" w:eastAsia="宋体"/>
          <w:b/>
          <w:bCs/>
          <w:color w:val="222222"/>
          <w:kern w:val="0"/>
          <w:sz w:val="28"/>
          <w:szCs w:val="28"/>
          <w:shd w:val="clear" w:color="auto" w:fill="FFFFFF"/>
          <w:lang w:val="en-US" w:eastAsia="zh-CN" w:bidi="ar"/>
        </w:rPr>
        <w:t>3.</w:t>
      </w:r>
      <w:r>
        <w:rPr>
          <w:rFonts w:ascii="Times New Roman" w:hAnsi="Times New Roman" w:eastAsia="宋体"/>
          <w:b/>
          <w:bCs/>
          <w:color w:val="222222"/>
          <w:kern w:val="0"/>
          <w:sz w:val="28"/>
          <w:szCs w:val="28"/>
          <w:shd w:val="clear" w:color="auto" w:fill="FFFFFF"/>
          <w:lang w:bidi="ar"/>
        </w:rPr>
        <w:t>标准化与规范化程度提高</w:t>
      </w:r>
      <w:r>
        <w:rPr>
          <w:rFonts w:hint="eastAsia" w:ascii="Times New Roman" w:hAnsi="Times New Roman" w:eastAsia="宋体"/>
          <w:b/>
          <w:bCs/>
          <w:color w:val="222222"/>
          <w:kern w:val="0"/>
          <w:sz w:val="28"/>
          <w:szCs w:val="28"/>
          <w:shd w:val="clear" w:color="auto" w:fill="FFFFFF"/>
          <w:lang w:eastAsia="zh-CN" w:bidi="ar"/>
        </w:rPr>
        <w:t>。</w:t>
      </w:r>
    </w:p>
    <w:p w14:paraId="69112DB6">
      <w:pPr>
        <w:widowControl/>
        <w:spacing w:line="360" w:lineRule="auto"/>
        <w:ind w:firstLine="560" w:firstLineChars="200"/>
        <w:rPr>
          <w:rFonts w:hint="eastAsia" w:ascii="Times New Roman" w:hAnsi="Times New Roman" w:eastAsia="宋体"/>
          <w:color w:val="222222"/>
          <w:kern w:val="0"/>
          <w:sz w:val="28"/>
          <w:szCs w:val="28"/>
          <w:shd w:val="clear" w:color="auto" w:fill="FFFFFF"/>
          <w:lang w:eastAsia="zh-CN" w:bidi="ar"/>
        </w:rPr>
      </w:pPr>
      <w:r>
        <w:rPr>
          <w:rFonts w:ascii="Times New Roman" w:hAnsi="Times New Roman" w:eastAsia="宋体"/>
          <w:color w:val="222222"/>
          <w:kern w:val="0"/>
          <w:sz w:val="28"/>
          <w:szCs w:val="28"/>
          <w:shd w:val="clear" w:color="auto" w:fill="FFFFFF"/>
          <w:lang w:bidi="ar"/>
        </w:rPr>
        <w:t>建立标准造价指标体系：制定和完善各类工程的标准造价指标体系，包括不同类型建筑、不同地区、不同规模项目的造价指标范围，有助于提高造价估算的准确性和效率，减少人为因素影响，为项目成本控制和评估提供参考依据。</w:t>
      </w:r>
    </w:p>
    <w:p w14:paraId="0681D997">
      <w:pPr>
        <w:widowControl/>
        <w:spacing w:line="360" w:lineRule="auto"/>
        <w:ind w:firstLine="560" w:firstLineChars="200"/>
        <w:rPr>
          <w:rFonts w:hint="eastAsia" w:ascii="Times New Roman" w:hAnsi="Times New Roman" w:eastAsia="宋体"/>
          <w:color w:val="222222"/>
          <w:kern w:val="0"/>
          <w:sz w:val="28"/>
          <w:szCs w:val="28"/>
          <w:shd w:val="clear" w:color="auto" w:fill="FFFFFF"/>
          <w:lang w:eastAsia="zh-CN" w:bidi="ar"/>
        </w:rPr>
      </w:pPr>
      <w:r>
        <w:rPr>
          <w:rFonts w:ascii="Times New Roman" w:hAnsi="Times New Roman" w:eastAsia="宋体"/>
          <w:color w:val="222222"/>
          <w:kern w:val="0"/>
          <w:sz w:val="28"/>
          <w:szCs w:val="28"/>
          <w:shd w:val="clear" w:color="auto" w:fill="FFFFFF"/>
          <w:lang w:bidi="ar"/>
        </w:rPr>
        <w:t>规范业务流程和文档管理：通过制定标准化的业务流程和文档管理</w:t>
      </w:r>
      <w:r>
        <w:rPr>
          <w:rFonts w:hint="eastAsia" w:ascii="Times New Roman" w:hAnsi="Times New Roman" w:eastAsia="宋体"/>
          <w:color w:val="222222"/>
          <w:kern w:val="0"/>
          <w:sz w:val="28"/>
          <w:szCs w:val="28"/>
          <w:shd w:val="clear" w:color="auto" w:fill="FFFFFF"/>
          <w:lang w:val="en-US" w:eastAsia="zh-CN" w:bidi="ar"/>
        </w:rPr>
        <w:t>制度</w:t>
      </w:r>
      <w:r>
        <w:rPr>
          <w:rFonts w:ascii="Times New Roman" w:hAnsi="Times New Roman" w:eastAsia="宋体"/>
          <w:color w:val="222222"/>
          <w:kern w:val="0"/>
          <w:sz w:val="28"/>
          <w:szCs w:val="28"/>
          <w:shd w:val="clear" w:color="auto" w:fill="FFFFFF"/>
          <w:lang w:bidi="ar"/>
        </w:rPr>
        <w:t>，明确各个环节的工作流程、质量标准和文档要求，确保造价咨询工作的一致性和可追溯性，提高工作质量和效率，降低业务风险。</w:t>
      </w:r>
    </w:p>
    <w:p w14:paraId="63EE4AD8">
      <w:pPr>
        <w:widowControl/>
        <w:spacing w:line="360" w:lineRule="auto"/>
        <w:ind w:firstLine="562" w:firstLineChars="200"/>
        <w:rPr>
          <w:rFonts w:hint="eastAsia" w:ascii="Times New Roman" w:hAnsi="Times New Roman" w:eastAsia="宋体"/>
          <w:b/>
          <w:bCs/>
          <w:color w:val="222222"/>
          <w:kern w:val="0"/>
          <w:sz w:val="28"/>
          <w:szCs w:val="28"/>
          <w:shd w:val="clear" w:color="auto" w:fill="FFFFFF"/>
          <w:lang w:eastAsia="zh-CN" w:bidi="ar"/>
        </w:rPr>
      </w:pPr>
      <w:r>
        <w:rPr>
          <w:rFonts w:hint="eastAsia" w:ascii="Times New Roman" w:hAnsi="Times New Roman" w:eastAsia="宋体"/>
          <w:b/>
          <w:bCs/>
          <w:color w:val="222222"/>
          <w:kern w:val="0"/>
          <w:sz w:val="28"/>
          <w:szCs w:val="28"/>
          <w:shd w:val="clear" w:color="auto" w:fill="FFFFFF"/>
          <w:lang w:val="en-US" w:eastAsia="zh-CN" w:bidi="ar"/>
        </w:rPr>
        <w:t>4.</w:t>
      </w:r>
      <w:r>
        <w:rPr>
          <w:rFonts w:ascii="Times New Roman" w:hAnsi="Times New Roman" w:eastAsia="宋体"/>
          <w:b/>
          <w:bCs/>
          <w:color w:val="222222"/>
          <w:kern w:val="0"/>
          <w:sz w:val="28"/>
          <w:szCs w:val="28"/>
          <w:shd w:val="clear" w:color="auto" w:fill="FFFFFF"/>
          <w:lang w:bidi="ar"/>
        </w:rPr>
        <w:t>市场竞争加剧</w:t>
      </w:r>
      <w:r>
        <w:rPr>
          <w:rFonts w:hint="eastAsia" w:ascii="Times New Roman" w:hAnsi="Times New Roman" w:eastAsia="宋体"/>
          <w:b/>
          <w:bCs/>
          <w:color w:val="222222"/>
          <w:kern w:val="0"/>
          <w:sz w:val="28"/>
          <w:szCs w:val="28"/>
          <w:shd w:val="clear" w:color="auto" w:fill="FFFFFF"/>
          <w:lang w:eastAsia="zh-CN" w:bidi="ar"/>
        </w:rPr>
        <w:t>。</w:t>
      </w:r>
    </w:p>
    <w:p w14:paraId="1C123093">
      <w:pPr>
        <w:widowControl/>
        <w:spacing w:line="360" w:lineRule="auto"/>
        <w:ind w:firstLine="560" w:firstLineChars="200"/>
        <w:rPr>
          <w:rFonts w:hint="eastAsia" w:ascii="Times New Roman" w:hAnsi="Times New Roman" w:eastAsia="宋体"/>
          <w:color w:val="222222"/>
          <w:kern w:val="0"/>
          <w:sz w:val="28"/>
          <w:szCs w:val="28"/>
          <w:shd w:val="clear" w:color="auto" w:fill="FFFFFF"/>
          <w:lang w:eastAsia="zh-CN" w:bidi="ar"/>
        </w:rPr>
      </w:pPr>
      <w:r>
        <w:rPr>
          <w:rFonts w:ascii="Times New Roman" w:hAnsi="Times New Roman" w:eastAsia="宋体"/>
          <w:color w:val="222222"/>
          <w:kern w:val="0"/>
          <w:sz w:val="28"/>
          <w:szCs w:val="28"/>
          <w:shd w:val="clear" w:color="auto" w:fill="FFFFFF"/>
          <w:lang w:bidi="ar"/>
        </w:rPr>
        <w:t>随着行业的发展，造价咨询市场竞争日益激烈。一方面，大型综合性造价咨询企业凭借其规模、技术、人才和品牌优势，不断拓展市场份额；另一方面，小型专业化造价咨询公司也在通过差异化服务和特色业务，在细分市场中寻找发展机会。同时，行业内企业面临着来自其他相关行业（如工程管理、设计等）企业的竞争挑战，市场竞争格局不断变化。</w:t>
      </w:r>
    </w:p>
    <w:p w14:paraId="3BD90C33">
      <w:pPr>
        <w:widowControl/>
        <w:spacing w:line="360" w:lineRule="auto"/>
        <w:ind w:firstLine="560" w:firstLineChars="200"/>
        <w:rPr>
          <w:rFonts w:ascii="Times New Roman" w:hAnsi="Times New Roman" w:eastAsia="宋体" w:cs="Times New Roman"/>
          <w:color w:val="222222"/>
          <w:sz w:val="28"/>
          <w:szCs w:val="28"/>
          <w:highlight w:val="none"/>
          <w:shd w:val="clear" w:color="auto" w:fill="FFFFFF"/>
        </w:rPr>
      </w:pPr>
      <w:r>
        <w:rPr>
          <w:rFonts w:ascii="Times New Roman" w:hAnsi="Times New Roman" w:eastAsia="黑体" w:cs="Times New Roman"/>
          <w:color w:val="222222"/>
          <w:kern w:val="0"/>
          <w:sz w:val="28"/>
          <w:szCs w:val="28"/>
          <w:highlight w:val="none"/>
          <w:shd w:val="clear" w:color="auto" w:fill="FFFFFF"/>
          <w:lang w:bidi="ar"/>
        </w:rPr>
        <w:t>二、合肥发展现状</w:t>
      </w:r>
    </w:p>
    <w:p w14:paraId="4D21E71E">
      <w:pPr>
        <w:spacing w:line="360" w:lineRule="auto"/>
        <w:ind w:firstLine="560" w:firstLineChars="200"/>
        <w:rPr>
          <w:rFonts w:ascii="Times New Roman" w:hAnsi="Times New Roman" w:eastAsia="仿宋_GB2312" w:cs="Times New Roman"/>
          <w:sz w:val="28"/>
          <w:szCs w:val="28"/>
        </w:rPr>
      </w:pPr>
      <w:r>
        <w:rPr>
          <w:rFonts w:hint="eastAsia" w:ascii="Times New Roman" w:hAnsi="Times New Roman" w:eastAsia="宋体" w:cs="Times New Roman"/>
          <w:color w:val="222222"/>
          <w:kern w:val="0"/>
          <w:sz w:val="28"/>
          <w:szCs w:val="28"/>
          <w:shd w:val="clear" w:color="auto" w:fill="FFFFFF"/>
          <w:lang w:val="en-US" w:eastAsia="zh-CN" w:bidi="ar"/>
        </w:rPr>
        <w:t>随着</w:t>
      </w:r>
      <w:r>
        <w:rPr>
          <w:rFonts w:ascii="宋体" w:hAnsi="宋体" w:eastAsia="宋体" w:cs="宋体"/>
          <w:i w:val="0"/>
          <w:iCs w:val="0"/>
          <w:caps w:val="0"/>
          <w:color w:val="000000"/>
          <w:spacing w:val="0"/>
          <w:sz w:val="28"/>
          <w:szCs w:val="28"/>
        </w:rPr>
        <w:t>国务院“证照分离”改革取消工程造价咨询企业资质以来，</w:t>
      </w:r>
      <w:r>
        <w:rPr>
          <w:rFonts w:hint="eastAsia" w:ascii="宋体" w:hAnsi="宋体" w:eastAsia="宋体" w:cs="宋体"/>
          <w:i w:val="0"/>
          <w:iCs w:val="0"/>
          <w:caps w:val="0"/>
          <w:color w:val="000000"/>
          <w:spacing w:val="0"/>
          <w:sz w:val="28"/>
          <w:szCs w:val="28"/>
          <w:lang w:val="en-US" w:eastAsia="zh-CN"/>
        </w:rPr>
        <w:t>合肥市</w:t>
      </w:r>
      <w:r>
        <w:rPr>
          <w:rFonts w:ascii="宋体" w:hAnsi="宋体" w:eastAsia="宋体" w:cs="宋体"/>
          <w:i w:val="0"/>
          <w:iCs w:val="0"/>
          <w:caps w:val="0"/>
          <w:color w:val="000000"/>
          <w:spacing w:val="0"/>
          <w:sz w:val="28"/>
          <w:szCs w:val="28"/>
        </w:rPr>
        <w:t>工程造价咨询企业</w:t>
      </w:r>
      <w:r>
        <w:rPr>
          <w:rFonts w:hint="eastAsia" w:ascii="宋体" w:hAnsi="宋体" w:eastAsia="宋体" w:cs="宋体"/>
          <w:i w:val="0"/>
          <w:iCs w:val="0"/>
          <w:caps w:val="0"/>
          <w:color w:val="000000"/>
          <w:spacing w:val="0"/>
          <w:sz w:val="28"/>
          <w:szCs w:val="28"/>
          <w:lang w:val="en-US" w:eastAsia="zh-CN"/>
        </w:rPr>
        <w:t>数量激增，市场</w:t>
      </w:r>
      <w:r>
        <w:rPr>
          <w:rFonts w:hint="eastAsia" w:ascii="Times New Roman" w:hAnsi="Times New Roman" w:eastAsia="宋体" w:cs="Times New Roman"/>
          <w:color w:val="222222"/>
          <w:kern w:val="0"/>
          <w:sz w:val="28"/>
          <w:szCs w:val="28"/>
          <w:shd w:val="clear" w:color="auto" w:fill="FFFFFF"/>
          <w:lang w:val="en-US" w:eastAsia="zh-CN" w:bidi="ar"/>
        </w:rPr>
        <w:t>竞争更加激烈</w:t>
      </w:r>
      <w:r>
        <w:rPr>
          <w:rFonts w:ascii="Times New Roman" w:hAnsi="Times New Roman" w:eastAsia="宋体" w:cs="Times New Roman"/>
          <w:color w:val="222222"/>
          <w:kern w:val="0"/>
          <w:sz w:val="28"/>
          <w:szCs w:val="28"/>
          <w:shd w:val="clear" w:color="auto" w:fill="FFFFFF"/>
          <w:lang w:bidi="ar"/>
        </w:rPr>
        <w:t>，</w:t>
      </w:r>
      <w:r>
        <w:rPr>
          <w:rFonts w:hint="eastAsia" w:ascii="Times New Roman" w:hAnsi="Times New Roman" w:eastAsia="宋体" w:cs="Times New Roman"/>
          <w:color w:val="222222"/>
          <w:kern w:val="0"/>
          <w:sz w:val="28"/>
          <w:szCs w:val="28"/>
          <w:shd w:val="clear" w:color="auto" w:fill="FFFFFF"/>
          <w:lang w:val="en-US" w:eastAsia="zh-CN" w:bidi="ar"/>
        </w:rPr>
        <w:t>企业逐步向多元化、特色化发展</w:t>
      </w:r>
      <w:r>
        <w:rPr>
          <w:rFonts w:hint="eastAsia" w:ascii="宋体" w:hAnsi="宋体" w:eastAsia="宋体" w:cs="宋体"/>
          <w:i w:val="0"/>
          <w:iCs w:val="0"/>
          <w:caps w:val="0"/>
          <w:color w:val="000000"/>
          <w:spacing w:val="0"/>
          <w:sz w:val="28"/>
          <w:szCs w:val="28"/>
          <w:lang w:val="en-US" w:eastAsia="zh-CN"/>
        </w:rPr>
        <w:t>。</w:t>
      </w:r>
    </w:p>
    <w:p w14:paraId="1AFB99DB">
      <w:pPr>
        <w:ind w:firstLine="562" w:firstLineChars="200"/>
        <w:rPr>
          <w:rFonts w:ascii="Times New Roman" w:hAnsi="Times New Roman" w:eastAsia="宋体" w:cs="Times New Roman"/>
          <w:b/>
          <w:bCs/>
          <w:color w:val="222222"/>
          <w:kern w:val="0"/>
          <w:sz w:val="28"/>
          <w:szCs w:val="28"/>
          <w:shd w:val="clear" w:color="auto" w:fill="FFFFFF"/>
          <w:lang w:bidi="ar"/>
        </w:rPr>
      </w:pPr>
      <w:r>
        <w:rPr>
          <w:rFonts w:ascii="Times New Roman" w:hAnsi="Times New Roman" w:eastAsia="宋体" w:cs="Times New Roman"/>
          <w:b/>
          <w:bCs/>
          <w:color w:val="222222"/>
          <w:kern w:val="0"/>
          <w:sz w:val="28"/>
          <w:szCs w:val="28"/>
          <w:shd w:val="clear" w:color="auto" w:fill="FFFFFF"/>
          <w:lang w:bidi="ar"/>
        </w:rPr>
        <w:t>（一）产业规模。</w:t>
      </w:r>
    </w:p>
    <w:p w14:paraId="36AC2545">
      <w:pPr>
        <w:ind w:firstLine="562" w:firstLineChars="200"/>
        <w:rPr>
          <w:rFonts w:hint="eastAsia" w:ascii="宋体" w:hAnsi="宋体" w:eastAsia="宋体" w:cs="宋体"/>
          <w:b/>
          <w:bCs/>
          <w:i w:val="0"/>
          <w:iCs w:val="0"/>
          <w:caps w:val="0"/>
          <w:color w:val="000000"/>
          <w:spacing w:val="0"/>
          <w:sz w:val="28"/>
          <w:szCs w:val="28"/>
          <w:lang w:eastAsia="zh-CN"/>
        </w:rPr>
      </w:pPr>
      <w:r>
        <w:rPr>
          <w:rFonts w:hint="eastAsia" w:ascii="宋体" w:hAnsi="宋体" w:eastAsia="宋体" w:cs="宋体"/>
          <w:b/>
          <w:bCs/>
          <w:i w:val="0"/>
          <w:iCs w:val="0"/>
          <w:caps w:val="0"/>
          <w:color w:val="000000"/>
          <w:spacing w:val="0"/>
          <w:sz w:val="28"/>
          <w:szCs w:val="28"/>
          <w:lang w:val="en-US" w:eastAsia="zh-CN"/>
        </w:rPr>
        <w:t>1.工程</w:t>
      </w:r>
      <w:r>
        <w:rPr>
          <w:rFonts w:hint="eastAsia" w:ascii="宋体" w:hAnsi="宋体" w:eastAsia="宋体" w:cs="宋体"/>
          <w:b/>
          <w:bCs/>
          <w:i w:val="0"/>
          <w:iCs w:val="0"/>
          <w:caps w:val="0"/>
          <w:color w:val="000000"/>
          <w:spacing w:val="0"/>
          <w:sz w:val="28"/>
          <w:szCs w:val="28"/>
        </w:rPr>
        <w:t>造价</w:t>
      </w:r>
      <w:r>
        <w:rPr>
          <w:rFonts w:hint="eastAsia" w:ascii="宋体" w:hAnsi="宋体" w:eastAsia="宋体" w:cs="宋体"/>
          <w:b/>
          <w:bCs/>
          <w:i w:val="0"/>
          <w:iCs w:val="0"/>
          <w:caps w:val="0"/>
          <w:color w:val="000000"/>
          <w:spacing w:val="0"/>
          <w:sz w:val="28"/>
          <w:szCs w:val="28"/>
          <w:lang w:val="en-US" w:eastAsia="zh-CN"/>
        </w:rPr>
        <w:t>咨询</w:t>
      </w:r>
      <w:r>
        <w:rPr>
          <w:rFonts w:hint="eastAsia" w:ascii="宋体" w:hAnsi="宋体" w:eastAsia="宋体" w:cs="宋体"/>
          <w:b/>
          <w:bCs/>
          <w:i w:val="0"/>
          <w:iCs w:val="0"/>
          <w:caps w:val="0"/>
          <w:color w:val="000000"/>
          <w:spacing w:val="0"/>
          <w:sz w:val="28"/>
          <w:szCs w:val="28"/>
        </w:rPr>
        <w:t>企业</w:t>
      </w:r>
      <w:r>
        <w:rPr>
          <w:rFonts w:hint="eastAsia" w:ascii="宋体" w:hAnsi="宋体" w:eastAsia="宋体" w:cs="宋体"/>
          <w:b/>
          <w:bCs/>
          <w:i w:val="0"/>
          <w:iCs w:val="0"/>
          <w:caps w:val="0"/>
          <w:color w:val="000000"/>
          <w:spacing w:val="0"/>
          <w:sz w:val="28"/>
          <w:szCs w:val="28"/>
          <w:lang w:val="en-US" w:eastAsia="zh-CN"/>
        </w:rPr>
        <w:t>及人员</w:t>
      </w:r>
      <w:r>
        <w:rPr>
          <w:rFonts w:hint="eastAsia" w:ascii="宋体" w:hAnsi="宋体" w:eastAsia="宋体" w:cs="宋体"/>
          <w:b/>
          <w:bCs/>
          <w:i w:val="0"/>
          <w:iCs w:val="0"/>
          <w:caps w:val="0"/>
          <w:color w:val="000000"/>
          <w:spacing w:val="0"/>
          <w:sz w:val="28"/>
          <w:szCs w:val="28"/>
        </w:rPr>
        <w:t>数量</w:t>
      </w:r>
      <w:r>
        <w:rPr>
          <w:rFonts w:hint="eastAsia" w:ascii="宋体" w:hAnsi="宋体" w:eastAsia="宋体" w:cs="宋体"/>
          <w:b/>
          <w:bCs/>
          <w:i w:val="0"/>
          <w:iCs w:val="0"/>
          <w:caps w:val="0"/>
          <w:color w:val="000000"/>
          <w:spacing w:val="0"/>
          <w:sz w:val="28"/>
          <w:szCs w:val="28"/>
          <w:lang w:eastAsia="zh-CN"/>
        </w:rPr>
        <w:t>：</w:t>
      </w:r>
    </w:p>
    <w:p w14:paraId="11C59A0C">
      <w:pPr>
        <w:spacing w:line="360" w:lineRule="auto"/>
        <w:ind w:firstLine="560" w:firstLineChars="200"/>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截止</w:t>
      </w:r>
      <w:r>
        <w:rPr>
          <w:rFonts w:hint="eastAsia" w:ascii="宋体" w:hAnsi="宋体" w:eastAsia="宋体" w:cs="宋体"/>
          <w:i w:val="0"/>
          <w:iCs w:val="0"/>
          <w:caps w:val="0"/>
          <w:color w:val="000000"/>
          <w:spacing w:val="0"/>
          <w:sz w:val="28"/>
          <w:szCs w:val="28"/>
          <w:lang w:val="en-US" w:eastAsia="zh-CN"/>
        </w:rPr>
        <w:t>2024年8月</w:t>
      </w:r>
      <w:r>
        <w:rPr>
          <w:rFonts w:hint="eastAsia" w:ascii="宋体" w:hAnsi="宋体" w:eastAsia="宋体" w:cs="宋体"/>
          <w:i w:val="0"/>
          <w:iCs w:val="0"/>
          <w:caps w:val="0"/>
          <w:color w:val="000000"/>
          <w:spacing w:val="0"/>
          <w:sz w:val="28"/>
          <w:szCs w:val="28"/>
        </w:rPr>
        <w:t>，省级建设主管部门推送工商营业执照中含“工程造价咨询”经营范围的</w:t>
      </w:r>
      <w:r>
        <w:rPr>
          <w:rFonts w:hint="eastAsia" w:ascii="宋体" w:hAnsi="宋体" w:eastAsia="宋体" w:cs="宋体"/>
          <w:i w:val="0"/>
          <w:iCs w:val="0"/>
          <w:caps w:val="0"/>
          <w:color w:val="000000"/>
          <w:spacing w:val="0"/>
          <w:sz w:val="28"/>
          <w:szCs w:val="28"/>
          <w:lang w:val="en-US" w:eastAsia="zh-CN"/>
        </w:rPr>
        <w:t>合肥市</w:t>
      </w:r>
      <w:r>
        <w:rPr>
          <w:rFonts w:hint="eastAsia" w:ascii="宋体" w:hAnsi="宋体" w:eastAsia="宋体" w:cs="宋体"/>
          <w:i w:val="0"/>
          <w:iCs w:val="0"/>
          <w:caps w:val="0"/>
          <w:color w:val="000000"/>
          <w:spacing w:val="0"/>
          <w:sz w:val="28"/>
          <w:szCs w:val="28"/>
        </w:rPr>
        <w:t>企业18459家，其中有能力承接工程造价咨询业务的企业504家。其中AAA企业60家，AA企业27家，A企业417家</w:t>
      </w:r>
      <w:r>
        <w:rPr>
          <w:rFonts w:hint="eastAsia" w:ascii="宋体" w:hAnsi="宋体" w:eastAsia="宋体" w:cs="宋体"/>
          <w:i w:val="0"/>
          <w:iCs w:val="0"/>
          <w:caps w:val="0"/>
          <w:color w:val="000000"/>
          <w:spacing w:val="0"/>
          <w:sz w:val="28"/>
          <w:szCs w:val="28"/>
          <w:lang w:val="en-US" w:eastAsia="zh-CN"/>
        </w:rPr>
        <w:t>；</w:t>
      </w:r>
      <w:r>
        <w:rPr>
          <w:rFonts w:hint="eastAsia" w:ascii="宋体" w:hAnsi="宋体" w:eastAsia="宋体" w:cs="宋体"/>
          <w:i w:val="0"/>
          <w:iCs w:val="0"/>
          <w:caps w:val="0"/>
          <w:color w:val="000000"/>
          <w:spacing w:val="0"/>
          <w:sz w:val="28"/>
          <w:szCs w:val="28"/>
        </w:rPr>
        <w:t>B企业17953家，C企业2家。</w:t>
      </w:r>
    </w:p>
    <w:p w14:paraId="64DFA8F4">
      <w:pPr>
        <w:spacing w:line="360" w:lineRule="auto"/>
        <w:ind w:firstLine="560" w:firstLineChars="200"/>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合肥市一级和二级造价师人员数量及各个专业情况（土建、安装、交通、水利）</w:t>
      </w:r>
      <w:r>
        <w:rPr>
          <w:rFonts w:hint="eastAsia" w:ascii="宋体" w:hAnsi="宋体" w:eastAsia="宋体" w:cs="宋体"/>
          <w:i w:val="0"/>
          <w:iCs w:val="0"/>
          <w:caps w:val="0"/>
          <w:color w:val="000000"/>
          <w:spacing w:val="0"/>
          <w:sz w:val="28"/>
          <w:szCs w:val="28"/>
          <w:lang w:eastAsia="zh-CN"/>
        </w:rPr>
        <w:t>、</w:t>
      </w:r>
      <w:r>
        <w:rPr>
          <w:rFonts w:hint="eastAsia" w:ascii="宋体" w:hAnsi="宋体" w:eastAsia="宋体" w:cs="宋体"/>
          <w:i w:val="0"/>
          <w:iCs w:val="0"/>
          <w:caps w:val="0"/>
          <w:color w:val="000000"/>
          <w:spacing w:val="0"/>
          <w:sz w:val="28"/>
          <w:szCs w:val="28"/>
        </w:rPr>
        <w:t>职称情况</w:t>
      </w:r>
      <w:r>
        <w:rPr>
          <w:rFonts w:hint="eastAsia" w:ascii="宋体" w:hAnsi="宋体" w:eastAsia="宋体" w:cs="宋体"/>
          <w:i w:val="0"/>
          <w:iCs w:val="0"/>
          <w:caps w:val="0"/>
          <w:color w:val="000000"/>
          <w:spacing w:val="0"/>
          <w:sz w:val="28"/>
          <w:szCs w:val="28"/>
          <w:lang w:eastAsia="zh-CN"/>
        </w:rPr>
        <w:t>：</w:t>
      </w:r>
    </w:p>
    <w:p w14:paraId="302ACA49">
      <w:pPr>
        <w:spacing w:line="360" w:lineRule="auto"/>
        <w:ind w:firstLine="560" w:firstLineChars="200"/>
        <w:rPr>
          <w:b/>
          <w:bCs/>
          <w:szCs w:val="21"/>
        </w:rPr>
      </w:pPr>
      <w:r>
        <w:rPr>
          <w:rFonts w:hint="eastAsia" w:ascii="宋体" w:hAnsi="宋体" w:eastAsia="宋体" w:cs="宋体"/>
          <w:i w:val="0"/>
          <w:iCs w:val="0"/>
          <w:caps w:val="0"/>
          <w:color w:val="000000"/>
          <w:spacing w:val="0"/>
          <w:sz w:val="28"/>
          <w:szCs w:val="28"/>
        </w:rPr>
        <w:t>截止</w:t>
      </w:r>
      <w:r>
        <w:rPr>
          <w:rFonts w:hint="eastAsia" w:ascii="宋体" w:hAnsi="宋体" w:eastAsia="宋体" w:cs="宋体"/>
          <w:i w:val="0"/>
          <w:iCs w:val="0"/>
          <w:caps w:val="0"/>
          <w:color w:val="000000"/>
          <w:spacing w:val="0"/>
          <w:sz w:val="28"/>
          <w:szCs w:val="28"/>
          <w:lang w:val="en-US" w:eastAsia="zh-CN"/>
        </w:rPr>
        <w:t>2024年8月</w:t>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合肥</w:t>
      </w:r>
      <w:r>
        <w:rPr>
          <w:rFonts w:hint="eastAsia" w:ascii="宋体" w:hAnsi="宋体" w:eastAsia="宋体" w:cs="宋体"/>
          <w:i w:val="0"/>
          <w:iCs w:val="0"/>
          <w:caps w:val="0"/>
          <w:color w:val="000000"/>
          <w:spacing w:val="0"/>
          <w:sz w:val="28"/>
          <w:szCs w:val="28"/>
        </w:rPr>
        <w:t>市注册造价工程师12376人（一级4946人、二级7430人），注册在工商营业执照中含“工程造价咨询”营业范围企业的5869人（一级3283人、二级2586人）</w:t>
      </w:r>
      <w:r>
        <w:rPr>
          <w:rFonts w:hint="eastAsia" w:ascii="宋体" w:hAnsi="宋体" w:eastAsia="宋体" w:cs="宋体"/>
          <w:i w:val="0"/>
          <w:iCs w:val="0"/>
          <w:caps w:val="0"/>
          <w:color w:val="000000"/>
          <w:spacing w:val="0"/>
          <w:sz w:val="28"/>
          <w:szCs w:val="28"/>
          <w:lang w:eastAsia="zh-CN"/>
        </w:rPr>
        <w:t>，</w:t>
      </w:r>
      <w:r>
        <w:rPr>
          <w:rFonts w:hint="eastAsia" w:ascii="宋体" w:hAnsi="宋体" w:eastAsia="宋体" w:cs="宋体"/>
          <w:i w:val="0"/>
          <w:iCs w:val="0"/>
          <w:caps w:val="0"/>
          <w:color w:val="000000"/>
          <w:spacing w:val="0"/>
          <w:sz w:val="28"/>
          <w:szCs w:val="28"/>
        </w:rPr>
        <w:t>高级职称27388人、中级职称53255、初级职称人员数量31019</w:t>
      </w:r>
      <w:r>
        <w:rPr>
          <w:rFonts w:hint="eastAsia"/>
          <w:b/>
          <w:bCs/>
          <w:szCs w:val="21"/>
        </w:rPr>
        <w:t>。</w:t>
      </w:r>
    </w:p>
    <w:p w14:paraId="20698569">
      <w:pPr>
        <w:spacing w:line="360" w:lineRule="auto"/>
        <w:ind w:firstLine="420" w:firstLineChars="200"/>
        <w:rPr>
          <w:rFonts w:hint="eastAsia" w:ascii="宋体" w:hAnsi="宋体" w:eastAsia="宋体" w:cs="宋体"/>
          <w:i w:val="0"/>
          <w:iCs w:val="0"/>
          <w:caps w:val="0"/>
          <w:color w:val="000000"/>
          <w:spacing w:val="0"/>
          <w:sz w:val="28"/>
          <w:szCs w:val="28"/>
        </w:rPr>
      </w:pPr>
      <w:r>
        <w:drawing>
          <wp:inline distT="0" distB="0" distL="114300" distR="114300">
            <wp:extent cx="5299075" cy="3389630"/>
            <wp:effectExtent l="0" t="0" r="952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l="1496" t="5074" r="18437" b="4306"/>
                    <a:stretch>
                      <a:fillRect/>
                    </a:stretch>
                  </pic:blipFill>
                  <pic:spPr>
                    <a:xfrm>
                      <a:off x="0" y="0"/>
                      <a:ext cx="5299075" cy="3389630"/>
                    </a:xfrm>
                    <a:prstGeom prst="rect">
                      <a:avLst/>
                    </a:prstGeom>
                    <a:noFill/>
                    <a:ln>
                      <a:noFill/>
                    </a:ln>
                  </pic:spPr>
                </pic:pic>
              </a:graphicData>
            </a:graphic>
          </wp:inline>
        </w:drawing>
      </w:r>
    </w:p>
    <w:p w14:paraId="64648B7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cstheme="minorEastAsia"/>
          <w:b/>
          <w:bCs/>
          <w:color w:val="auto"/>
          <w:sz w:val="18"/>
          <w:szCs w:val="18"/>
          <w:lang w:val="en-US" w:eastAsia="zh-CN"/>
        </w:rPr>
        <w:t>图  全市造价咨询企业分布图</w:t>
      </w:r>
    </w:p>
    <w:p w14:paraId="5245D184">
      <w:pPr>
        <w:spacing w:line="360" w:lineRule="auto"/>
        <w:ind w:firstLine="562" w:firstLineChars="200"/>
        <w:rPr>
          <w:rFonts w:hint="eastAsia" w:ascii="宋体" w:hAnsi="宋体" w:eastAsia="宋体" w:cs="宋体"/>
          <w:b/>
          <w:bCs/>
          <w:i w:val="0"/>
          <w:iCs w:val="0"/>
          <w:caps w:val="0"/>
          <w:color w:val="000000"/>
          <w:spacing w:val="0"/>
          <w:sz w:val="28"/>
          <w:szCs w:val="28"/>
          <w:lang w:val="en-US" w:eastAsia="zh-CN"/>
        </w:rPr>
      </w:pPr>
      <w:r>
        <w:rPr>
          <w:rFonts w:hint="eastAsia" w:ascii="宋体" w:hAnsi="宋体" w:eastAsia="宋体" w:cs="宋体"/>
          <w:b/>
          <w:bCs/>
          <w:i w:val="0"/>
          <w:iCs w:val="0"/>
          <w:caps w:val="0"/>
          <w:color w:val="000000"/>
          <w:spacing w:val="0"/>
          <w:sz w:val="28"/>
          <w:szCs w:val="28"/>
          <w:lang w:val="en-US" w:eastAsia="zh-CN"/>
        </w:rPr>
        <w:t>2.近两年造价企业营收情况</w:t>
      </w:r>
    </w:p>
    <w:p w14:paraId="68497626">
      <w:pPr>
        <w:spacing w:line="360" w:lineRule="auto"/>
        <w:ind w:firstLine="560" w:firstLineChars="200"/>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近年来，合肥市造价咨询企业的营收状况呈现出一定的波动性。截至2022年底，共有280家企业参与了造价经营数据报送，全年营业收入合计23.79亿元，尽管报送企业数量较去年下降了7.89%，但营业收入却实现了4.53%的增长。到了2023年底，参与报送的企业数量回升至300家，同比增长7.14%，而营业收入也稳步提升至24.23亿元，增长率为1.85%，增长率下降。</w:t>
      </w:r>
    </w:p>
    <w:p w14:paraId="561C8B53">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b/>
          <w:bCs/>
          <w:color w:val="auto"/>
          <w:sz w:val="18"/>
          <w:szCs w:val="18"/>
          <w:lang w:val="en-US" w:eastAsia="zh-CN"/>
        </w:rPr>
      </w:pPr>
      <w:r>
        <w:rPr>
          <w:rFonts w:hint="eastAsia" w:asciiTheme="minorEastAsia" w:hAnsiTheme="minorEastAsia" w:cstheme="minorEastAsia"/>
          <w:b/>
          <w:bCs/>
          <w:color w:val="auto"/>
          <w:sz w:val="18"/>
          <w:szCs w:val="18"/>
          <w:lang w:val="en-US" w:eastAsia="zh-CN"/>
        </w:rPr>
        <w:t>表 近两年营收情况表</w:t>
      </w:r>
    </w:p>
    <w:tbl>
      <w:tblPr>
        <w:tblStyle w:val="21"/>
        <w:tblpPr w:leftFromText="180" w:rightFromText="180" w:vertAnchor="text" w:horzAnchor="page" w:tblpXSpec="center" w:tblpY="226"/>
        <w:tblOverlap w:val="never"/>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842"/>
        <w:gridCol w:w="1336"/>
        <w:gridCol w:w="1289"/>
        <w:gridCol w:w="2291"/>
      </w:tblGrid>
      <w:tr w14:paraId="569379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842" w:type="dxa"/>
            <w:tcBorders>
              <w:top w:val="single" w:color="4874CB" w:sz="12" w:space="0"/>
              <w:left w:val="nil"/>
              <w:bottom w:val="single" w:color="4874CB" w:sz="4" w:space="0"/>
              <w:right w:val="nil"/>
              <w:tl2br w:val="nil"/>
              <w:tr2bl w:val="nil"/>
            </w:tcBorders>
            <w:shd w:val="clear" w:color="auto" w:fill="FFFFFF"/>
            <w:vAlign w:val="center"/>
          </w:tcPr>
          <w:p w14:paraId="0E3B2B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bCs w:val="0"/>
                <w:color w:val="000000"/>
                <w:sz w:val="18"/>
                <w:szCs w:val="18"/>
                <w:vertAlign w:val="baseline"/>
                <w:lang w:val="en-US" w:eastAsia="zh-CN"/>
              </w:rPr>
            </w:pPr>
            <w:r>
              <w:rPr>
                <w:rFonts w:hint="eastAsia" w:asciiTheme="minorEastAsia" w:hAnsiTheme="minorEastAsia" w:cstheme="minorEastAsia"/>
                <w:b/>
                <w:bCs w:val="0"/>
                <w:color w:val="000000"/>
                <w:sz w:val="18"/>
                <w:szCs w:val="18"/>
                <w:vertAlign w:val="baseline"/>
                <w:lang w:val="en-US" w:eastAsia="zh-CN"/>
              </w:rPr>
              <w:t>类型</w:t>
            </w:r>
          </w:p>
        </w:tc>
        <w:tc>
          <w:tcPr>
            <w:tcW w:w="1336" w:type="dxa"/>
            <w:tcBorders>
              <w:top w:val="single" w:color="4874CB" w:sz="12" w:space="0"/>
              <w:left w:val="nil"/>
              <w:bottom w:val="single" w:color="4874CB" w:sz="4" w:space="0"/>
              <w:right w:val="nil"/>
              <w:tl2br w:val="nil"/>
              <w:tr2bl w:val="nil"/>
            </w:tcBorders>
            <w:shd w:val="clear" w:color="auto" w:fill="FFFFFF"/>
            <w:vAlign w:val="center"/>
          </w:tcPr>
          <w:p w14:paraId="293E47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bCs w:val="0"/>
                <w:color w:val="000000"/>
                <w:sz w:val="18"/>
                <w:szCs w:val="18"/>
                <w:vertAlign w:val="baseline"/>
                <w:lang w:val="en-US" w:eastAsia="zh-CN"/>
              </w:rPr>
            </w:pPr>
            <w:r>
              <w:rPr>
                <w:rFonts w:hint="eastAsia" w:asciiTheme="minorEastAsia" w:hAnsiTheme="minorEastAsia" w:cstheme="minorEastAsia"/>
                <w:b/>
                <w:bCs w:val="0"/>
                <w:color w:val="000000"/>
                <w:sz w:val="18"/>
                <w:szCs w:val="18"/>
                <w:vertAlign w:val="baseline"/>
                <w:lang w:val="en-US" w:eastAsia="zh-CN"/>
              </w:rPr>
              <w:t>2023年</w:t>
            </w:r>
          </w:p>
        </w:tc>
        <w:tc>
          <w:tcPr>
            <w:tcW w:w="1289" w:type="dxa"/>
            <w:tcBorders>
              <w:top w:val="single" w:color="4874CB" w:sz="12" w:space="0"/>
              <w:left w:val="nil"/>
              <w:bottom w:val="single" w:color="4874CB" w:sz="4" w:space="0"/>
              <w:right w:val="nil"/>
              <w:tl2br w:val="nil"/>
              <w:tr2bl w:val="nil"/>
            </w:tcBorders>
            <w:shd w:val="clear" w:color="auto" w:fill="FFFFFF"/>
            <w:vAlign w:val="center"/>
          </w:tcPr>
          <w:p w14:paraId="7AAAEF3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heme="minorEastAsia" w:hAnsiTheme="minorEastAsia" w:eastAsiaTheme="minorEastAsia" w:cstheme="minorEastAsia"/>
                <w:b/>
                <w:bCs w:val="0"/>
                <w:color w:val="000000"/>
                <w:sz w:val="18"/>
                <w:szCs w:val="18"/>
                <w:vertAlign w:val="baseline"/>
                <w:lang w:val="en-US" w:eastAsia="zh-CN"/>
              </w:rPr>
            </w:pPr>
            <w:r>
              <w:rPr>
                <w:rFonts w:hint="eastAsia" w:asciiTheme="minorEastAsia" w:hAnsiTheme="minorEastAsia" w:cstheme="minorEastAsia"/>
                <w:b/>
                <w:bCs w:val="0"/>
                <w:color w:val="000000"/>
                <w:sz w:val="18"/>
                <w:szCs w:val="18"/>
                <w:vertAlign w:val="baseline"/>
                <w:lang w:val="en-US" w:eastAsia="zh-CN"/>
              </w:rPr>
              <w:t>2022年</w:t>
            </w:r>
          </w:p>
        </w:tc>
        <w:tc>
          <w:tcPr>
            <w:tcW w:w="2291" w:type="dxa"/>
            <w:tcBorders>
              <w:top w:val="single" w:color="4874CB" w:sz="12" w:space="0"/>
              <w:left w:val="nil"/>
              <w:bottom w:val="single" w:color="4874CB" w:sz="4" w:space="0"/>
              <w:right w:val="nil"/>
              <w:tl2br w:val="nil"/>
              <w:tr2bl w:val="nil"/>
            </w:tcBorders>
            <w:shd w:val="clear" w:color="auto" w:fill="FFFFFF"/>
            <w:vAlign w:val="center"/>
          </w:tcPr>
          <w:p w14:paraId="606376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bCs w:val="0"/>
                <w:color w:val="000000"/>
                <w:sz w:val="18"/>
                <w:szCs w:val="18"/>
                <w:vertAlign w:val="baseline"/>
                <w:lang w:val="en-US" w:eastAsia="zh-CN"/>
              </w:rPr>
            </w:pPr>
            <w:r>
              <w:rPr>
                <w:rFonts w:hint="eastAsia" w:asciiTheme="minorEastAsia" w:hAnsiTheme="minorEastAsia" w:cstheme="minorEastAsia"/>
                <w:b/>
                <w:bCs w:val="0"/>
                <w:color w:val="000000"/>
                <w:sz w:val="18"/>
                <w:szCs w:val="18"/>
                <w:vertAlign w:val="baseline"/>
                <w:lang w:val="en-US" w:eastAsia="zh-CN"/>
              </w:rPr>
              <w:t>较上一年度同期对比</w:t>
            </w:r>
          </w:p>
        </w:tc>
      </w:tr>
      <w:tr w14:paraId="786AEB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42" w:type="dxa"/>
            <w:tcBorders>
              <w:top w:val="single" w:color="4874CB" w:sz="4" w:space="0"/>
              <w:left w:val="nil"/>
              <w:bottom w:val="nil"/>
              <w:right w:val="nil"/>
              <w:tl2br w:val="nil"/>
              <w:tr2bl w:val="nil"/>
            </w:tcBorders>
            <w:shd w:val="clear" w:color="auto" w:fill="FFFFFF"/>
            <w:vAlign w:val="center"/>
          </w:tcPr>
          <w:p w14:paraId="27731BF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bCs w:val="0"/>
                <w:color w:val="000000"/>
                <w:sz w:val="18"/>
                <w:szCs w:val="18"/>
                <w:vertAlign w:val="baseline"/>
                <w:lang w:val="en-US" w:eastAsia="zh-CN"/>
              </w:rPr>
            </w:pPr>
            <w:r>
              <w:rPr>
                <w:rFonts w:hint="eastAsia" w:asciiTheme="minorEastAsia" w:hAnsiTheme="minorEastAsia" w:cstheme="minorEastAsia"/>
                <w:b w:val="0"/>
                <w:bCs w:val="0"/>
                <w:color w:val="000000"/>
                <w:sz w:val="18"/>
                <w:szCs w:val="18"/>
                <w:vertAlign w:val="baseline"/>
                <w:lang w:val="en-US" w:eastAsia="zh-CN"/>
              </w:rPr>
              <w:t>报送企业（家）</w:t>
            </w:r>
          </w:p>
        </w:tc>
        <w:tc>
          <w:tcPr>
            <w:tcW w:w="1336" w:type="dxa"/>
            <w:tcBorders>
              <w:top w:val="single" w:color="4874CB" w:sz="4" w:space="0"/>
              <w:left w:val="nil"/>
              <w:bottom w:val="nil"/>
              <w:right w:val="nil"/>
              <w:tl2br w:val="nil"/>
              <w:tr2bl w:val="nil"/>
            </w:tcBorders>
            <w:shd w:val="clear" w:color="auto" w:fill="FFFFFF"/>
            <w:vAlign w:val="center"/>
          </w:tcPr>
          <w:p w14:paraId="4586FB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val="0"/>
                <w:bCs w:val="0"/>
                <w:color w:val="000000"/>
                <w:sz w:val="18"/>
                <w:szCs w:val="18"/>
                <w:vertAlign w:val="baseline"/>
                <w:lang w:val="en-US" w:eastAsia="zh-CN"/>
              </w:rPr>
            </w:pPr>
            <w:r>
              <w:rPr>
                <w:rFonts w:hint="eastAsia" w:asciiTheme="minorEastAsia" w:hAnsiTheme="minorEastAsia" w:cstheme="minorEastAsia"/>
                <w:b w:val="0"/>
                <w:bCs w:val="0"/>
                <w:color w:val="000000"/>
                <w:sz w:val="18"/>
                <w:szCs w:val="18"/>
                <w:vertAlign w:val="baseline"/>
                <w:lang w:val="en-US" w:eastAsia="zh-CN"/>
              </w:rPr>
              <w:t>300</w:t>
            </w:r>
          </w:p>
        </w:tc>
        <w:tc>
          <w:tcPr>
            <w:tcW w:w="1289" w:type="dxa"/>
            <w:tcBorders>
              <w:top w:val="single" w:color="4874CB" w:sz="4" w:space="0"/>
              <w:left w:val="nil"/>
              <w:bottom w:val="nil"/>
              <w:right w:val="nil"/>
              <w:tl2br w:val="nil"/>
              <w:tr2bl w:val="nil"/>
            </w:tcBorders>
            <w:shd w:val="clear" w:color="auto" w:fill="FFFFFF"/>
            <w:vAlign w:val="center"/>
          </w:tcPr>
          <w:p w14:paraId="74AC02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Theme="minorEastAsia" w:hAnsiTheme="minorEastAsia" w:eastAsiaTheme="minorEastAsia" w:cstheme="minorEastAsia"/>
                <w:b w:val="0"/>
                <w:bCs w:val="0"/>
                <w:color w:val="000000"/>
                <w:sz w:val="18"/>
                <w:szCs w:val="18"/>
                <w:vertAlign w:val="baseline"/>
                <w:lang w:val="en-US" w:eastAsia="zh-CN"/>
              </w:rPr>
            </w:pPr>
            <w:r>
              <w:rPr>
                <w:rFonts w:hint="eastAsia" w:asciiTheme="minorEastAsia" w:hAnsiTheme="minorEastAsia" w:cstheme="minorEastAsia"/>
                <w:b w:val="0"/>
                <w:bCs w:val="0"/>
                <w:color w:val="000000"/>
                <w:sz w:val="18"/>
                <w:szCs w:val="18"/>
                <w:vertAlign w:val="baseline"/>
                <w:lang w:val="en-US" w:eastAsia="zh-CN"/>
              </w:rPr>
              <w:t>280</w:t>
            </w:r>
          </w:p>
        </w:tc>
        <w:tc>
          <w:tcPr>
            <w:tcW w:w="2291" w:type="dxa"/>
            <w:tcBorders>
              <w:top w:val="single" w:color="4874CB" w:sz="4" w:space="0"/>
              <w:left w:val="nil"/>
              <w:bottom w:val="nil"/>
              <w:right w:val="nil"/>
              <w:tl2br w:val="nil"/>
              <w:tr2bl w:val="nil"/>
            </w:tcBorders>
            <w:shd w:val="clear" w:color="auto" w:fill="FFFFFF"/>
            <w:vAlign w:val="center"/>
          </w:tcPr>
          <w:p w14:paraId="19DB332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bCs w:val="0"/>
                <w:color w:val="000000"/>
                <w:sz w:val="18"/>
                <w:szCs w:val="18"/>
                <w:vertAlign w:val="baseline"/>
                <w:lang w:val="en-US" w:eastAsia="zh-CN"/>
              </w:rPr>
            </w:pPr>
            <w:r>
              <w:rPr>
                <w:rFonts w:hint="eastAsia"/>
                <w:b w:val="0"/>
                <w:color w:val="000000"/>
                <w:sz w:val="18"/>
              </w:rPr>
              <mc:AlternateContent>
                <mc:Choice Requires="wpg">
                  <w:drawing>
                    <wp:anchor distT="0" distB="0" distL="114300" distR="114300" simplePos="0" relativeHeight="251660288" behindDoc="0" locked="0" layoutInCell="1" allowOverlap="1">
                      <wp:simplePos x="0" y="0"/>
                      <wp:positionH relativeFrom="column">
                        <wp:posOffset>-340995</wp:posOffset>
                      </wp:positionH>
                      <wp:positionV relativeFrom="paragraph">
                        <wp:posOffset>38735</wp:posOffset>
                      </wp:positionV>
                      <wp:extent cx="144780" cy="487680"/>
                      <wp:effectExtent l="15240" t="8890" r="30480" b="17780"/>
                      <wp:wrapNone/>
                      <wp:docPr id="6" name="组合 6"/>
                      <wp:cNvGraphicFramePr/>
                      <a:graphic xmlns:a="http://schemas.openxmlformats.org/drawingml/2006/main">
                        <a:graphicData uri="http://schemas.microsoft.com/office/word/2010/wordprocessingGroup">
                          <wpg:wgp>
                            <wpg:cNvGrpSpPr/>
                            <wpg:grpSpPr>
                              <a:xfrm>
                                <a:off x="0" y="0"/>
                                <a:ext cx="144780" cy="487680"/>
                                <a:chOff x="10708" y="21996"/>
                                <a:chExt cx="228" cy="762"/>
                              </a:xfrm>
                            </wpg:grpSpPr>
                            <wps:wsp>
                              <wps:cNvPr id="4" name="上箭头 4"/>
                              <wps:cNvSpPr/>
                              <wps:spPr>
                                <a:xfrm>
                                  <a:off x="10712" y="21996"/>
                                  <a:ext cx="225" cy="272"/>
                                </a:xfrm>
                                <a:prstGeom prst="upArrow">
                                  <a:avLst/>
                                </a:prstGeom>
                                <a:solidFill>
                                  <a:srgbClr val="00B05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上箭头 5"/>
                              <wps:cNvSpPr/>
                              <wps:spPr>
                                <a:xfrm>
                                  <a:off x="10708" y="22486"/>
                                  <a:ext cx="225" cy="272"/>
                                </a:xfrm>
                                <a:prstGeom prst="upArrow">
                                  <a:avLst/>
                                </a:prstGeom>
                                <a:solidFill>
                                  <a:srgbClr val="00B05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6.85pt;margin-top:3.05pt;height:38.4pt;width:11.4pt;z-index:251660288;mso-width-relative:page;mso-height-relative:page;" coordorigin="10708,21996" coordsize="228,762" o:gfxdata="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C4KQrE2QAAAAgBAAAPAAAAAAAAAAEA&#10;IAAAACIAAABkcnMvZG93bnJldi54bWxQSwECFAAUAAAACACHTuJAzIUSjCsDAACLCQAADgAAAAAA&#10;AAABACAAAAAoAQAAZHJzL2Uyb0RvYy54bWxQSwUGAAAAAAYABgBZAQAAxQYAAAAA&#10;">
                      <o:lock v:ext="edit" aspectratio="f"/>
                      <v:shape id="_x0000_s1026" o:spid="_x0000_s1026" o:spt="68" type="#_x0000_t68" style="position:absolute;left:10712;top:21996;height:272;width:225;v-text-anchor:middle;" fillcolor="#00B050" filled="t" stroked="t" coordsize="21600,21600" o:gfxdata="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BU4nvQAA&#10;ANoAAAAPAAAAAAAAAAEAIAAAACIAAABkcnMvZG93bnJldi54bWxQSwECFAAUAAAACACHTuJAMy8F&#10;njsAAAA5AAAAEAAAAAAAAAABACAAAAAMAQAAZHJzL3NoYXBleG1sLnhtbFBLBQYAAAAABgAGAFsB&#10;AAC2AwAAAAA=&#10;" adj="8933,5400">
                        <v:fill on="t" focussize="0,0"/>
                        <v:stroke weight="1pt" color="#104862 [2404]" miterlimit="8" joinstyle="miter"/>
                        <v:imagedata o:title=""/>
                        <o:lock v:ext="edit" aspectratio="f"/>
                      </v:shape>
                      <v:shape id="_x0000_s1026" o:spid="_x0000_s1026" o:spt="68" type="#_x0000_t68" style="position:absolute;left:10708;top:22486;height:272;width:225;v-text-anchor:middle;" fillcolor="#00B050" filled="t" stroked="t" coordsize="21600,21600" o:gfxdata="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VJ67y8AAAA&#10;2gAAAA8AAAAAAAAAAQAgAAAAIgAAAGRycy9kb3ducmV2LnhtbFBLAQIUABQAAAAIAIdO4kAzLwWe&#10;OwAAADkAAAAQAAAAAAAAAAEAIAAAAAsBAABkcnMvc2hhcGV4bWwueG1sUEsFBgAAAAAGAAYAWwEA&#10;ALUDAAAAAA==&#10;" adj="8933,5400">
                        <v:fill on="t" focussize="0,0"/>
                        <v:stroke weight="1pt" color="#104862 [2404]" miterlimit="8" joinstyle="miter"/>
                        <v:imagedata o:title=""/>
                        <o:lock v:ext="edit" aspectratio="f"/>
                      </v:shape>
                    </v:group>
                  </w:pict>
                </mc:Fallback>
              </mc:AlternateContent>
            </w:r>
            <w:r>
              <w:rPr>
                <w:rFonts w:hint="eastAsia" w:asciiTheme="minorEastAsia" w:hAnsiTheme="minorEastAsia" w:cstheme="minorEastAsia"/>
                <w:b w:val="0"/>
                <w:bCs w:val="0"/>
                <w:color w:val="000000"/>
                <w:sz w:val="18"/>
                <w:szCs w:val="18"/>
                <w:lang w:val="en-US" w:eastAsia="zh-CN"/>
              </w:rPr>
              <w:t>7.14%</w:t>
            </w:r>
          </w:p>
        </w:tc>
      </w:tr>
      <w:tr w14:paraId="74F4EE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842" w:type="dxa"/>
            <w:tcBorders>
              <w:top w:val="nil"/>
              <w:left w:val="nil"/>
              <w:bottom w:val="single" w:color="4874CB" w:sz="12" w:space="0"/>
              <w:right w:val="nil"/>
              <w:tl2br w:val="nil"/>
              <w:tr2bl w:val="nil"/>
            </w:tcBorders>
            <w:shd w:val="clear" w:color="auto" w:fill="FFFFFF"/>
            <w:vAlign w:val="center"/>
          </w:tcPr>
          <w:p w14:paraId="18052C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bCs w:val="0"/>
                <w:color w:val="000000"/>
                <w:sz w:val="18"/>
                <w:szCs w:val="18"/>
                <w:vertAlign w:val="baseline"/>
                <w:lang w:val="en-US" w:eastAsia="zh-CN"/>
              </w:rPr>
            </w:pPr>
            <w:r>
              <w:rPr>
                <w:rFonts w:hint="eastAsia" w:asciiTheme="minorEastAsia" w:hAnsiTheme="minorEastAsia" w:cstheme="minorEastAsia"/>
                <w:b w:val="0"/>
                <w:bCs w:val="0"/>
                <w:color w:val="000000"/>
                <w:sz w:val="18"/>
                <w:szCs w:val="18"/>
                <w:vertAlign w:val="baseline"/>
                <w:lang w:val="en-US" w:eastAsia="zh-CN"/>
              </w:rPr>
              <w:t>营业收入</w:t>
            </w:r>
            <w:r>
              <w:rPr>
                <w:rFonts w:hint="eastAsia" w:asciiTheme="minorEastAsia" w:hAnsiTheme="minorEastAsia" w:eastAsiaTheme="minorEastAsia" w:cstheme="minorEastAsia"/>
                <w:b w:val="0"/>
                <w:bCs w:val="0"/>
                <w:color w:val="000000"/>
                <w:sz w:val="18"/>
                <w:szCs w:val="18"/>
                <w:vertAlign w:val="baseline"/>
                <w:lang w:val="en-US" w:eastAsia="zh-CN"/>
              </w:rPr>
              <w:t>（</w:t>
            </w:r>
            <w:r>
              <w:rPr>
                <w:rFonts w:hint="eastAsia" w:asciiTheme="minorEastAsia" w:hAnsiTheme="minorEastAsia" w:cstheme="minorEastAsia"/>
                <w:b w:val="0"/>
                <w:bCs w:val="0"/>
                <w:color w:val="000000"/>
                <w:sz w:val="18"/>
                <w:szCs w:val="18"/>
                <w:vertAlign w:val="baseline"/>
                <w:lang w:val="en-US" w:eastAsia="zh-CN"/>
              </w:rPr>
              <w:t>亿</w:t>
            </w:r>
            <w:r>
              <w:rPr>
                <w:rFonts w:hint="eastAsia" w:asciiTheme="minorEastAsia" w:hAnsiTheme="minorEastAsia" w:eastAsiaTheme="minorEastAsia" w:cstheme="minorEastAsia"/>
                <w:b w:val="0"/>
                <w:bCs w:val="0"/>
                <w:color w:val="000000"/>
                <w:sz w:val="18"/>
                <w:szCs w:val="18"/>
                <w:vertAlign w:val="baseline"/>
                <w:lang w:val="en-US" w:eastAsia="zh-CN"/>
              </w:rPr>
              <w:t>元）</w:t>
            </w:r>
          </w:p>
        </w:tc>
        <w:tc>
          <w:tcPr>
            <w:tcW w:w="1336" w:type="dxa"/>
            <w:tcBorders>
              <w:top w:val="nil"/>
              <w:left w:val="nil"/>
              <w:bottom w:val="single" w:color="4874CB" w:sz="12" w:space="0"/>
              <w:right w:val="nil"/>
              <w:tl2br w:val="nil"/>
              <w:tr2bl w:val="nil"/>
            </w:tcBorders>
            <w:shd w:val="clear" w:color="auto" w:fill="FFFFFF"/>
            <w:vAlign w:val="center"/>
          </w:tcPr>
          <w:p w14:paraId="708878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HAnsi" w:hAnsiTheme="minorHAnsi" w:eastAsiaTheme="minorEastAsia" w:cstheme="minorBidi"/>
                <w:b w:val="0"/>
                <w:color w:val="000000"/>
                <w:kern w:val="2"/>
                <w:sz w:val="18"/>
                <w:szCs w:val="18"/>
                <w:lang w:val="en-US" w:eastAsia="zh-CN" w:bidi="ar-SA"/>
              </w:rPr>
            </w:pPr>
            <w:r>
              <w:rPr>
                <w:rFonts w:hint="eastAsia" w:asciiTheme="minorEastAsia" w:hAnsiTheme="minorEastAsia" w:eastAsiaTheme="minorEastAsia" w:cstheme="minorEastAsia"/>
                <w:b w:val="0"/>
                <w:color w:val="000000"/>
                <w:kern w:val="0"/>
                <w:sz w:val="18"/>
                <w:szCs w:val="18"/>
                <w:lang w:val="en-US" w:eastAsia="zh-CN" w:bidi="ar"/>
              </w:rPr>
              <w:t>24.23</w:t>
            </w:r>
          </w:p>
        </w:tc>
        <w:tc>
          <w:tcPr>
            <w:tcW w:w="1289" w:type="dxa"/>
            <w:tcBorders>
              <w:top w:val="nil"/>
              <w:left w:val="nil"/>
              <w:bottom w:val="single" w:color="4874CB" w:sz="12" w:space="0"/>
              <w:right w:val="nil"/>
              <w:tl2br w:val="nil"/>
              <w:tr2bl w:val="nil"/>
            </w:tcBorders>
            <w:shd w:val="clear" w:color="auto" w:fill="FFFFFF"/>
            <w:vAlign w:val="center"/>
          </w:tcPr>
          <w:p w14:paraId="505C8A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Theme="minorEastAsia" w:hAnsiTheme="minorEastAsia" w:eastAsiaTheme="minorEastAsia" w:cstheme="minorEastAsia"/>
                <w:b w:val="0"/>
                <w:bCs w:val="0"/>
                <w:color w:val="000000"/>
                <w:sz w:val="18"/>
                <w:szCs w:val="18"/>
                <w:vertAlign w:val="baseline"/>
                <w:lang w:val="en-US" w:eastAsia="zh-CN"/>
              </w:rPr>
            </w:pPr>
            <w:r>
              <w:rPr>
                <w:rFonts w:hint="eastAsia" w:asciiTheme="minorEastAsia" w:hAnsiTheme="minorEastAsia" w:eastAsiaTheme="minorEastAsia" w:cstheme="minorEastAsia"/>
                <w:b w:val="0"/>
                <w:color w:val="000000"/>
                <w:kern w:val="0"/>
                <w:sz w:val="18"/>
                <w:szCs w:val="18"/>
                <w:lang w:val="en-US" w:eastAsia="zh-CN" w:bidi="ar"/>
              </w:rPr>
              <w:t>2</w:t>
            </w:r>
            <w:r>
              <w:rPr>
                <w:rFonts w:hint="eastAsia" w:asciiTheme="minorEastAsia" w:hAnsiTheme="minorEastAsia" w:cstheme="minorEastAsia"/>
                <w:b w:val="0"/>
                <w:color w:val="000000"/>
                <w:kern w:val="0"/>
                <w:sz w:val="18"/>
                <w:szCs w:val="18"/>
                <w:lang w:val="en-US" w:eastAsia="zh-CN" w:bidi="ar"/>
              </w:rPr>
              <w:t>3</w:t>
            </w:r>
            <w:r>
              <w:rPr>
                <w:rFonts w:hint="eastAsia" w:asciiTheme="minorEastAsia" w:hAnsiTheme="minorEastAsia" w:eastAsiaTheme="minorEastAsia" w:cstheme="minorEastAsia"/>
                <w:b w:val="0"/>
                <w:color w:val="000000"/>
                <w:kern w:val="0"/>
                <w:sz w:val="18"/>
                <w:szCs w:val="18"/>
                <w:lang w:val="en-US" w:eastAsia="zh-CN" w:bidi="ar"/>
              </w:rPr>
              <w:t>.</w:t>
            </w:r>
            <w:r>
              <w:rPr>
                <w:rFonts w:hint="eastAsia" w:asciiTheme="minorEastAsia" w:hAnsiTheme="minorEastAsia" w:cstheme="minorEastAsia"/>
                <w:b w:val="0"/>
                <w:color w:val="000000"/>
                <w:kern w:val="0"/>
                <w:sz w:val="18"/>
                <w:szCs w:val="18"/>
                <w:lang w:val="en-US" w:eastAsia="zh-CN" w:bidi="ar"/>
              </w:rPr>
              <w:t>79</w:t>
            </w:r>
          </w:p>
        </w:tc>
        <w:tc>
          <w:tcPr>
            <w:tcW w:w="2291" w:type="dxa"/>
            <w:tcBorders>
              <w:top w:val="nil"/>
              <w:left w:val="nil"/>
              <w:bottom w:val="single" w:color="4874CB" w:sz="12" w:space="0"/>
              <w:right w:val="nil"/>
              <w:tl2br w:val="nil"/>
              <w:tr2bl w:val="nil"/>
            </w:tcBorders>
            <w:shd w:val="clear" w:color="auto" w:fill="FFFFFF"/>
            <w:vAlign w:val="center"/>
          </w:tcPr>
          <w:p w14:paraId="510903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bCs w:val="0"/>
                <w:color w:val="000000"/>
                <w:sz w:val="18"/>
                <w:szCs w:val="18"/>
                <w:vertAlign w:val="baseline"/>
                <w:lang w:val="en-US" w:eastAsia="zh-CN"/>
              </w:rPr>
            </w:pPr>
            <w:r>
              <w:rPr>
                <w:rFonts w:hint="eastAsia" w:asciiTheme="minorEastAsia" w:hAnsiTheme="minorEastAsia" w:cstheme="minorEastAsia"/>
                <w:b w:val="0"/>
                <w:bCs w:val="0"/>
                <w:color w:val="000000"/>
                <w:sz w:val="18"/>
                <w:szCs w:val="18"/>
                <w:lang w:val="en-US" w:eastAsia="zh-CN"/>
              </w:rPr>
              <w:t>1.85%</w:t>
            </w:r>
          </w:p>
        </w:tc>
      </w:tr>
    </w:tbl>
    <w:p w14:paraId="7F5083E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rPr>
      </w:pPr>
    </w:p>
    <w:p w14:paraId="1B50617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rPr>
      </w:pPr>
    </w:p>
    <w:p w14:paraId="22EF2D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sz w:val="24"/>
          <w:szCs w:val="24"/>
        </w:rPr>
      </w:pPr>
    </w:p>
    <w:p w14:paraId="7424471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ascii="Times New Roman" w:hAnsi="Times New Roman" w:eastAsia="宋体" w:cs="Times New Roman"/>
          <w:b/>
          <w:bCs/>
          <w:color w:val="222222"/>
          <w:kern w:val="0"/>
          <w:sz w:val="28"/>
          <w:szCs w:val="28"/>
          <w:shd w:val="clear" w:color="auto" w:fill="FFFFFF"/>
          <w:lang w:bidi="ar"/>
        </w:rPr>
        <w:t>（二）重点企业。</w:t>
      </w:r>
      <w:r>
        <w:rPr>
          <w:rFonts w:hint="eastAsia" w:ascii="宋体" w:hAnsi="宋体" w:eastAsia="宋体" w:cs="宋体"/>
          <w:i w:val="0"/>
          <w:iCs w:val="0"/>
          <w:caps w:val="0"/>
          <w:color w:val="000000"/>
          <w:spacing w:val="0"/>
          <w:sz w:val="28"/>
          <w:szCs w:val="28"/>
          <w:lang w:val="en-US" w:eastAsia="zh-CN"/>
        </w:rPr>
        <w:t>截至2023年12月31日，合肥市造价咨询行业的竞争格局进一步明朗化。在参与造价经营数据报送的300家企业中，前30名企业的营业收入总额高达15.79亿元，占据了全市造价营业收入总额的65.17%，显示出极高的行业集中度。而前20名和前10名企业的营业收入占比也分别达到了54.64%和39.00%，进一步凸显了行业内部的头部企业效应。尤为值得关注的是，有20家企业的营业收入超过了3000万元，这仅占全市造价企业总数的6%，却占据了54.64%的市场份额，充分说明了行业内部的竞争之激烈以及头部企业的强劲实力。</w:t>
      </w:r>
    </w:p>
    <w:p w14:paraId="09EC73CE">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kern w:val="0"/>
          <w:sz w:val="18"/>
          <w:szCs w:val="18"/>
          <w:lang w:val="en-US" w:eastAsia="zh-CN" w:bidi="ar"/>
        </w:rPr>
      </w:pPr>
      <w:r>
        <w:rPr>
          <w:rFonts w:hint="eastAsia" w:asciiTheme="minorEastAsia" w:hAnsiTheme="minorEastAsia" w:cstheme="minorEastAsia"/>
          <w:b/>
          <w:bCs/>
          <w:color w:val="auto"/>
          <w:sz w:val="18"/>
          <w:szCs w:val="18"/>
          <w:lang w:val="en-US" w:eastAsia="zh-CN"/>
        </w:rPr>
        <w:t>表 重点企业营收占比</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7"/>
        <w:gridCol w:w="2582"/>
        <w:gridCol w:w="2464"/>
      </w:tblGrid>
      <w:tr w14:paraId="31D4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7" w:type="dxa"/>
            <w:tcBorders>
              <w:top w:val="single" w:color="4874CB" w:sz="12" w:space="0"/>
              <w:left w:val="nil"/>
              <w:bottom w:val="single" w:color="4874CB" w:sz="4" w:space="0"/>
              <w:right w:val="nil"/>
            </w:tcBorders>
            <w:shd w:val="clear" w:color="auto" w:fill="FFFFFF"/>
          </w:tcPr>
          <w:p w14:paraId="4EA60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bCs/>
                <w:color w:val="000000"/>
                <w:kern w:val="0"/>
                <w:sz w:val="18"/>
                <w:szCs w:val="18"/>
                <w:vertAlign w:val="baseline"/>
                <w:lang w:val="en-US" w:eastAsia="zh-CN" w:bidi="ar"/>
              </w:rPr>
            </w:pPr>
            <w:r>
              <w:rPr>
                <w:rFonts w:hint="eastAsia" w:asciiTheme="minorEastAsia" w:hAnsiTheme="minorEastAsia" w:cstheme="minorEastAsia"/>
                <w:b/>
                <w:bCs/>
                <w:color w:val="000000"/>
                <w:kern w:val="0"/>
                <w:sz w:val="18"/>
                <w:szCs w:val="18"/>
                <w:vertAlign w:val="baseline"/>
                <w:lang w:val="en-US" w:eastAsia="zh-CN" w:bidi="ar"/>
              </w:rPr>
              <w:t>营业收入排名</w:t>
            </w:r>
          </w:p>
        </w:tc>
        <w:tc>
          <w:tcPr>
            <w:tcW w:w="2582" w:type="dxa"/>
            <w:tcBorders>
              <w:top w:val="single" w:color="4874CB" w:sz="12" w:space="0"/>
              <w:left w:val="nil"/>
              <w:bottom w:val="single" w:color="4874CB" w:sz="4" w:space="0"/>
              <w:right w:val="nil"/>
            </w:tcBorders>
            <w:shd w:val="clear" w:color="auto" w:fill="FFFFFF"/>
          </w:tcPr>
          <w:p w14:paraId="0A737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bCs/>
                <w:color w:val="000000"/>
                <w:kern w:val="0"/>
                <w:sz w:val="18"/>
                <w:szCs w:val="18"/>
                <w:vertAlign w:val="baseline"/>
                <w:lang w:val="en-US" w:eastAsia="zh-CN" w:bidi="ar"/>
              </w:rPr>
            </w:pPr>
            <w:r>
              <w:rPr>
                <w:rFonts w:hint="eastAsia" w:asciiTheme="minorEastAsia" w:hAnsiTheme="minorEastAsia" w:cstheme="minorEastAsia"/>
                <w:b/>
                <w:bCs/>
                <w:color w:val="000000"/>
                <w:kern w:val="0"/>
                <w:sz w:val="18"/>
                <w:szCs w:val="18"/>
                <w:vertAlign w:val="baseline"/>
                <w:lang w:val="en-US" w:eastAsia="zh-CN" w:bidi="ar"/>
              </w:rPr>
              <w:t>营业收入总额（亿元）</w:t>
            </w:r>
          </w:p>
        </w:tc>
        <w:tc>
          <w:tcPr>
            <w:tcW w:w="2464" w:type="dxa"/>
            <w:tcBorders>
              <w:top w:val="single" w:color="4874CB" w:sz="12" w:space="0"/>
              <w:left w:val="nil"/>
              <w:bottom w:val="single" w:color="4874CB" w:sz="4" w:space="0"/>
              <w:right w:val="nil"/>
            </w:tcBorders>
            <w:shd w:val="clear" w:color="auto" w:fill="FFFFFF"/>
          </w:tcPr>
          <w:p w14:paraId="455C19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bCs/>
                <w:color w:val="000000"/>
                <w:kern w:val="0"/>
                <w:sz w:val="18"/>
                <w:szCs w:val="18"/>
                <w:vertAlign w:val="baseline"/>
                <w:lang w:val="en-US" w:eastAsia="zh-CN" w:bidi="ar"/>
              </w:rPr>
            </w:pPr>
            <w:r>
              <w:rPr>
                <w:rFonts w:hint="eastAsia" w:asciiTheme="minorEastAsia" w:hAnsiTheme="minorEastAsia" w:cstheme="minorEastAsia"/>
                <w:b/>
                <w:bCs/>
                <w:color w:val="000000"/>
                <w:kern w:val="0"/>
                <w:sz w:val="18"/>
                <w:szCs w:val="18"/>
                <w:vertAlign w:val="baseline"/>
                <w:lang w:val="en-US" w:eastAsia="zh-CN" w:bidi="ar"/>
              </w:rPr>
              <w:t>占全市营业收入比例</w:t>
            </w:r>
          </w:p>
        </w:tc>
      </w:tr>
      <w:tr w14:paraId="7B3A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7" w:type="dxa"/>
            <w:tcBorders>
              <w:top w:val="single" w:color="4874CB" w:sz="4" w:space="0"/>
              <w:left w:val="nil"/>
              <w:bottom w:val="nil"/>
              <w:right w:val="nil"/>
            </w:tcBorders>
            <w:shd w:val="clear" w:color="auto" w:fill="FFFFFF"/>
          </w:tcPr>
          <w:p w14:paraId="5E0258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val="0"/>
                <w:color w:val="000000"/>
                <w:kern w:val="0"/>
                <w:sz w:val="18"/>
                <w:szCs w:val="18"/>
                <w:vertAlign w:val="baseline"/>
                <w:lang w:val="en-US" w:eastAsia="zh-CN" w:bidi="ar"/>
              </w:rPr>
            </w:pPr>
            <w:r>
              <w:rPr>
                <w:rFonts w:hint="eastAsia" w:asciiTheme="minorEastAsia" w:hAnsiTheme="minorEastAsia" w:cstheme="minorEastAsia"/>
                <w:b w:val="0"/>
                <w:color w:val="000000"/>
                <w:kern w:val="0"/>
                <w:sz w:val="18"/>
                <w:szCs w:val="18"/>
                <w:vertAlign w:val="baseline"/>
                <w:lang w:val="en-US" w:eastAsia="zh-CN" w:bidi="ar"/>
              </w:rPr>
              <w:t>前30名企业</w:t>
            </w:r>
          </w:p>
        </w:tc>
        <w:tc>
          <w:tcPr>
            <w:tcW w:w="2582" w:type="dxa"/>
            <w:tcBorders>
              <w:top w:val="single" w:color="4874CB" w:sz="4" w:space="0"/>
              <w:left w:val="nil"/>
              <w:bottom w:val="nil"/>
              <w:right w:val="nil"/>
            </w:tcBorders>
            <w:shd w:val="clear" w:color="auto" w:fill="FFFFFF"/>
          </w:tcPr>
          <w:p w14:paraId="7CCE6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color w:val="000000"/>
                <w:kern w:val="0"/>
                <w:sz w:val="18"/>
                <w:szCs w:val="18"/>
                <w:vertAlign w:val="baseline"/>
                <w:lang w:bidi="ar"/>
              </w:rPr>
            </w:pPr>
            <w:r>
              <w:rPr>
                <w:rFonts w:hint="eastAsia" w:asciiTheme="minorEastAsia" w:hAnsiTheme="minorEastAsia" w:cstheme="minorEastAsia"/>
                <w:b w:val="0"/>
                <w:color w:val="000000"/>
                <w:kern w:val="0"/>
                <w:sz w:val="18"/>
                <w:szCs w:val="18"/>
                <w:lang w:val="en-US" w:eastAsia="zh-CN" w:bidi="ar"/>
              </w:rPr>
              <w:t>15.79</w:t>
            </w:r>
          </w:p>
        </w:tc>
        <w:tc>
          <w:tcPr>
            <w:tcW w:w="2464" w:type="dxa"/>
            <w:tcBorders>
              <w:top w:val="single" w:color="4874CB" w:sz="4" w:space="0"/>
              <w:left w:val="nil"/>
              <w:bottom w:val="nil"/>
              <w:right w:val="nil"/>
            </w:tcBorders>
            <w:shd w:val="clear" w:color="auto" w:fill="FFFFFF"/>
          </w:tcPr>
          <w:p w14:paraId="1F0BE6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val="0"/>
                <w:color w:val="000000"/>
                <w:kern w:val="0"/>
                <w:sz w:val="18"/>
                <w:szCs w:val="18"/>
                <w:vertAlign w:val="baseline"/>
                <w:lang w:val="en-US" w:bidi="ar"/>
              </w:rPr>
            </w:pPr>
            <w:r>
              <w:rPr>
                <w:rFonts w:hint="eastAsia" w:asciiTheme="minorEastAsia" w:hAnsiTheme="minorEastAsia" w:cstheme="minorEastAsia"/>
                <w:b w:val="0"/>
                <w:color w:val="000000"/>
                <w:kern w:val="0"/>
                <w:sz w:val="18"/>
                <w:szCs w:val="18"/>
                <w:lang w:val="en-US" w:eastAsia="zh-CN" w:bidi="ar"/>
              </w:rPr>
              <w:t>65.17%</w:t>
            </w:r>
          </w:p>
        </w:tc>
      </w:tr>
      <w:tr w14:paraId="59CE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7" w:type="dxa"/>
            <w:tcBorders>
              <w:top w:val="nil"/>
              <w:left w:val="nil"/>
              <w:bottom w:val="nil"/>
              <w:right w:val="nil"/>
            </w:tcBorders>
            <w:shd w:val="clear" w:color="auto" w:fill="FFFFFF"/>
          </w:tcPr>
          <w:p w14:paraId="0A4B46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color w:val="000000"/>
                <w:kern w:val="0"/>
                <w:sz w:val="18"/>
                <w:szCs w:val="18"/>
                <w:vertAlign w:val="baseline"/>
                <w:lang w:bidi="ar"/>
              </w:rPr>
            </w:pPr>
            <w:r>
              <w:rPr>
                <w:rFonts w:hint="eastAsia" w:asciiTheme="minorEastAsia" w:hAnsiTheme="minorEastAsia" w:cstheme="minorEastAsia"/>
                <w:b w:val="0"/>
                <w:color w:val="000000"/>
                <w:kern w:val="0"/>
                <w:sz w:val="18"/>
                <w:szCs w:val="18"/>
                <w:vertAlign w:val="baseline"/>
                <w:lang w:val="en-US" w:eastAsia="zh-CN" w:bidi="ar"/>
              </w:rPr>
              <w:t>前20名企业</w:t>
            </w:r>
          </w:p>
        </w:tc>
        <w:tc>
          <w:tcPr>
            <w:tcW w:w="2582" w:type="dxa"/>
            <w:tcBorders>
              <w:top w:val="nil"/>
              <w:left w:val="nil"/>
              <w:bottom w:val="nil"/>
              <w:right w:val="nil"/>
            </w:tcBorders>
            <w:shd w:val="clear" w:color="auto" w:fill="FFFFFF"/>
          </w:tcPr>
          <w:p w14:paraId="46678B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color w:val="000000"/>
                <w:kern w:val="0"/>
                <w:sz w:val="18"/>
                <w:szCs w:val="18"/>
                <w:vertAlign w:val="baseline"/>
                <w:lang w:bidi="ar"/>
              </w:rPr>
            </w:pPr>
            <w:r>
              <w:rPr>
                <w:rFonts w:hint="eastAsia" w:asciiTheme="minorEastAsia" w:hAnsiTheme="minorEastAsia" w:cstheme="minorEastAsia"/>
                <w:b w:val="0"/>
                <w:color w:val="000000"/>
                <w:kern w:val="0"/>
                <w:sz w:val="18"/>
                <w:szCs w:val="18"/>
                <w:lang w:val="en-US" w:eastAsia="zh-CN" w:bidi="ar"/>
              </w:rPr>
              <w:t>13.24</w:t>
            </w:r>
          </w:p>
        </w:tc>
        <w:tc>
          <w:tcPr>
            <w:tcW w:w="2464" w:type="dxa"/>
            <w:tcBorders>
              <w:top w:val="nil"/>
              <w:left w:val="nil"/>
              <w:bottom w:val="nil"/>
              <w:right w:val="nil"/>
            </w:tcBorders>
            <w:shd w:val="clear" w:color="auto" w:fill="FFFFFF"/>
          </w:tcPr>
          <w:p w14:paraId="3E238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val="0"/>
                <w:color w:val="000000"/>
                <w:kern w:val="0"/>
                <w:sz w:val="18"/>
                <w:szCs w:val="18"/>
                <w:vertAlign w:val="baseline"/>
                <w:lang w:val="en-US" w:eastAsia="zh-CN" w:bidi="ar"/>
              </w:rPr>
            </w:pPr>
            <w:r>
              <w:rPr>
                <w:rFonts w:hint="eastAsia" w:asciiTheme="minorEastAsia" w:hAnsiTheme="minorEastAsia" w:cstheme="minorEastAsia"/>
                <w:b w:val="0"/>
                <w:color w:val="000000"/>
                <w:kern w:val="0"/>
                <w:sz w:val="18"/>
                <w:szCs w:val="18"/>
                <w:vertAlign w:val="baseline"/>
                <w:lang w:val="en-US" w:eastAsia="zh-CN" w:bidi="ar"/>
              </w:rPr>
              <w:t>54.64%</w:t>
            </w:r>
          </w:p>
        </w:tc>
      </w:tr>
      <w:tr w14:paraId="0B46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7" w:type="dxa"/>
            <w:tcBorders>
              <w:top w:val="nil"/>
              <w:left w:val="nil"/>
              <w:bottom w:val="single" w:color="4874CB" w:sz="12" w:space="0"/>
              <w:right w:val="nil"/>
            </w:tcBorders>
            <w:shd w:val="clear" w:color="auto" w:fill="FFFFFF"/>
          </w:tcPr>
          <w:p w14:paraId="4D9659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b w:val="0"/>
                <w:color w:val="000000"/>
                <w:kern w:val="0"/>
                <w:sz w:val="18"/>
                <w:szCs w:val="18"/>
                <w:vertAlign w:val="baseline"/>
                <w:lang w:bidi="ar"/>
              </w:rPr>
            </w:pPr>
            <w:r>
              <w:rPr>
                <w:rFonts w:hint="eastAsia" w:asciiTheme="minorEastAsia" w:hAnsiTheme="minorEastAsia" w:cstheme="minorEastAsia"/>
                <w:b w:val="0"/>
                <w:color w:val="000000"/>
                <w:kern w:val="0"/>
                <w:sz w:val="18"/>
                <w:szCs w:val="18"/>
                <w:vertAlign w:val="baseline"/>
                <w:lang w:val="en-US" w:eastAsia="zh-CN" w:bidi="ar"/>
              </w:rPr>
              <w:t>前10名企业</w:t>
            </w:r>
          </w:p>
        </w:tc>
        <w:tc>
          <w:tcPr>
            <w:tcW w:w="2582" w:type="dxa"/>
            <w:tcBorders>
              <w:top w:val="nil"/>
              <w:left w:val="nil"/>
              <w:bottom w:val="single" w:color="4874CB" w:sz="12" w:space="0"/>
              <w:right w:val="nil"/>
            </w:tcBorders>
            <w:shd w:val="clear" w:color="auto" w:fill="FFFFFF"/>
          </w:tcPr>
          <w:p w14:paraId="653466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val="0"/>
                <w:color w:val="000000"/>
                <w:kern w:val="0"/>
                <w:sz w:val="18"/>
                <w:szCs w:val="18"/>
                <w:vertAlign w:val="baseline"/>
                <w:lang w:val="en-US" w:eastAsia="zh-CN" w:bidi="ar"/>
              </w:rPr>
            </w:pPr>
            <w:r>
              <w:rPr>
                <w:rFonts w:hint="eastAsia" w:asciiTheme="minorEastAsia" w:hAnsiTheme="minorEastAsia" w:cstheme="minorEastAsia"/>
                <w:b w:val="0"/>
                <w:color w:val="000000"/>
                <w:kern w:val="0"/>
                <w:sz w:val="18"/>
                <w:szCs w:val="18"/>
                <w:vertAlign w:val="baseline"/>
                <w:lang w:val="en-US" w:eastAsia="zh-CN" w:bidi="ar"/>
              </w:rPr>
              <w:t>9.45</w:t>
            </w:r>
          </w:p>
        </w:tc>
        <w:tc>
          <w:tcPr>
            <w:tcW w:w="2464" w:type="dxa"/>
            <w:tcBorders>
              <w:top w:val="nil"/>
              <w:left w:val="nil"/>
              <w:bottom w:val="single" w:color="4874CB" w:sz="12" w:space="0"/>
              <w:right w:val="nil"/>
            </w:tcBorders>
            <w:shd w:val="clear" w:color="auto" w:fill="FFFFFF"/>
          </w:tcPr>
          <w:p w14:paraId="00A50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heme="minorEastAsia" w:hAnsiTheme="minorEastAsia" w:eastAsiaTheme="minorEastAsia" w:cstheme="minorEastAsia"/>
                <w:b w:val="0"/>
                <w:color w:val="000000"/>
                <w:kern w:val="0"/>
                <w:sz w:val="18"/>
                <w:szCs w:val="18"/>
                <w:vertAlign w:val="baseline"/>
                <w:lang w:val="en-US" w:eastAsia="zh-CN" w:bidi="ar"/>
              </w:rPr>
            </w:pPr>
            <w:r>
              <w:rPr>
                <w:rFonts w:hint="eastAsia" w:asciiTheme="minorEastAsia" w:hAnsiTheme="minorEastAsia" w:cstheme="minorEastAsia"/>
                <w:b w:val="0"/>
                <w:color w:val="000000"/>
                <w:kern w:val="0"/>
                <w:sz w:val="18"/>
                <w:szCs w:val="18"/>
                <w:vertAlign w:val="baseline"/>
                <w:lang w:val="en-US" w:eastAsia="zh-CN" w:bidi="ar"/>
              </w:rPr>
              <w:t>39.00%</w:t>
            </w:r>
          </w:p>
        </w:tc>
      </w:tr>
    </w:tbl>
    <w:p w14:paraId="0C80439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合肥市造价咨询重点企业多为综合型咨询服务公司，服务内容涵盖了造价咨询、工程咨询、招标代理、设计、监理、会计等多个领域，如安徽省招标集团股份有限公司、安徽省交通规划设计研究总院股份有限公司、容诚工程咨询有限公司、鼎信数智技术集团股份有限公司、安徽安建工程造价有限责任公司、安徽安天利信工程管理股份有限公司、国华工程科技（集团）有限责任公司、安徽宝申工程项目管理咨询有限公司等。</w:t>
      </w:r>
    </w:p>
    <w:p w14:paraId="65CEBC1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i w:val="0"/>
          <w:iCs w:val="0"/>
          <w:caps w:val="0"/>
          <w:color w:val="000000"/>
          <w:spacing w:val="0"/>
          <w:sz w:val="28"/>
          <w:szCs w:val="28"/>
          <w:highlight w:val="none"/>
          <w:lang w:val="en-US" w:eastAsia="zh-CN"/>
        </w:rPr>
      </w:pPr>
      <w:r>
        <w:rPr>
          <w:rFonts w:ascii="Times New Roman" w:hAnsi="Times New Roman" w:eastAsia="宋体" w:cs="Times New Roman"/>
          <w:b/>
          <w:bCs/>
          <w:color w:val="222222"/>
          <w:kern w:val="0"/>
          <w:sz w:val="28"/>
          <w:szCs w:val="28"/>
          <w:shd w:val="clear" w:color="auto" w:fill="FFFFFF"/>
          <w:lang w:bidi="ar"/>
        </w:rPr>
        <w:t>（三）重大项目。</w:t>
      </w:r>
      <w:r>
        <w:rPr>
          <w:rFonts w:hint="eastAsia" w:ascii="宋体" w:hAnsi="宋体" w:eastAsia="宋体" w:cs="宋体"/>
          <w:i w:val="0"/>
          <w:iCs w:val="0"/>
          <w:caps w:val="0"/>
          <w:color w:val="000000"/>
          <w:spacing w:val="0"/>
          <w:sz w:val="28"/>
          <w:szCs w:val="28"/>
          <w:lang w:val="en-US" w:eastAsia="zh-CN"/>
        </w:rPr>
        <w:t>截至2022年底，合肥市最高投标限价备案项目740个，限价总金额862.3亿元，备案项目比去年同期增加</w:t>
      </w:r>
      <w:r>
        <w:rPr>
          <w:rFonts w:hint="eastAsia" w:ascii="宋体" w:hAnsi="宋体" w:eastAsia="宋体" w:cs="宋体"/>
          <w:i w:val="0"/>
          <w:iCs w:val="0"/>
          <w:caps w:val="0"/>
          <w:color w:val="000000"/>
          <w:spacing w:val="0"/>
          <w:sz w:val="28"/>
          <w:szCs w:val="28"/>
          <w:highlight w:val="none"/>
          <w:lang w:val="en-US" w:eastAsia="zh-CN"/>
        </w:rPr>
        <w:t>11.28%，但限价总金额比去年同期下降7.84%。</w:t>
      </w:r>
    </w:p>
    <w:p w14:paraId="256459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eastAsia="宋体" w:cs="宋体"/>
          <w:i w:val="0"/>
          <w:iCs w:val="0"/>
          <w:caps w:val="0"/>
          <w:color w:val="000000"/>
          <w:spacing w:val="0"/>
          <w:sz w:val="28"/>
          <w:szCs w:val="28"/>
          <w:highlight w:val="none"/>
          <w:lang w:val="en-US" w:eastAsia="zh-CN"/>
        </w:rPr>
        <w:t>截至2023年底，合肥市最高投标限价备案项目672个，限价总金额823.57亿元，分别比去年同期下降9.19%和4.49%。</w:t>
      </w:r>
    </w:p>
    <w:p w14:paraId="464B5F4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b/>
          <w:bCs/>
          <w:color w:val="222222"/>
          <w:kern w:val="0"/>
          <w:sz w:val="24"/>
          <w:szCs w:val="24"/>
          <w:shd w:val="clear" w:color="auto" w:fill="FFFFFF"/>
          <w:lang w:val="en-US" w:eastAsia="zh-CN" w:bidi="ar"/>
        </w:rPr>
      </w:pPr>
      <w:r>
        <w:rPr>
          <w:rFonts w:hint="eastAsia"/>
          <w:lang w:val="en-US" w:eastAsia="zh-CN"/>
        </w:rPr>
        <w:t xml:space="preserve">   </w:t>
      </w:r>
      <w:r>
        <w:drawing>
          <wp:inline distT="0" distB="0" distL="114300" distR="114300">
            <wp:extent cx="4817745" cy="2743200"/>
            <wp:effectExtent l="0" t="0" r="1905" b="0"/>
            <wp:docPr id="9" name="图表 8" descr="7b0a202020202263686172745265734964223a202232303437363037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5FB25EF">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b/>
          <w:bCs/>
          <w:color w:val="auto"/>
          <w:sz w:val="18"/>
          <w:szCs w:val="18"/>
          <w:lang w:val="en-US" w:eastAsia="zh-CN"/>
        </w:rPr>
      </w:pPr>
      <w:r>
        <w:rPr>
          <w:rFonts w:hint="eastAsia" w:asciiTheme="minorEastAsia" w:hAnsiTheme="minorEastAsia" w:cstheme="minorEastAsia"/>
          <w:b/>
          <w:bCs/>
          <w:color w:val="auto"/>
          <w:sz w:val="18"/>
          <w:szCs w:val="18"/>
          <w:lang w:val="en-US" w:eastAsia="zh-CN"/>
        </w:rPr>
        <w:t>图 合肥市近两年备案项目情况</w:t>
      </w:r>
    </w:p>
    <w:p w14:paraId="3C9127B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从以上数据我们可以看出，近两年合肥市的项目限价总金额在不断下降，另一方面由于工程造价咨询资质审批取消，从事造价咨询服务的企业越来越多，市场上逐渐呈现“僧多粥少”的局面，竞争愈发激烈。</w:t>
      </w:r>
    </w:p>
    <w:p w14:paraId="064F5182">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b/>
          <w:bCs/>
          <w:color w:val="auto"/>
          <w:sz w:val="18"/>
          <w:szCs w:val="18"/>
          <w:lang w:val="en-US" w:eastAsia="zh-CN"/>
        </w:rPr>
      </w:pPr>
      <w:r>
        <w:rPr>
          <w:rFonts w:hint="eastAsia" w:asciiTheme="minorEastAsia" w:hAnsiTheme="minorEastAsia" w:cstheme="minorEastAsia"/>
          <w:b/>
          <w:bCs/>
          <w:color w:val="auto"/>
          <w:sz w:val="18"/>
          <w:szCs w:val="18"/>
          <w:lang w:val="en-US" w:eastAsia="zh-CN"/>
        </w:rPr>
        <w:t>表 合肥市部分重大项目</w:t>
      </w:r>
    </w:p>
    <w:tbl>
      <w:tblPr>
        <w:tblStyle w:val="20"/>
        <w:tblW w:w="8263"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307"/>
        <w:gridCol w:w="1307"/>
        <w:gridCol w:w="3649"/>
      </w:tblGrid>
      <w:tr w14:paraId="3614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trPr>
        <w:tc>
          <w:tcPr>
            <w:tcW w:w="3307" w:type="dxa"/>
            <w:tcBorders>
              <w:tl2br w:val="nil"/>
            </w:tcBorders>
            <w:shd w:val="clear" w:color="auto" w:fill="6186D2"/>
            <w:vAlign w:val="center"/>
          </w:tcPr>
          <w:p w14:paraId="666517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i w:val="0"/>
                <w:iCs w:val="0"/>
                <w:color w:val="000000"/>
                <w:sz w:val="18"/>
                <w:szCs w:val="18"/>
                <w:u w:val="none"/>
              </w:rPr>
            </w:pPr>
            <w:r>
              <w:rPr>
                <w:rFonts w:hint="eastAsia" w:ascii="宋体" w:hAnsi="宋体" w:eastAsia="宋体" w:cs="宋体"/>
                <w:b/>
                <w:bCs w:val="0"/>
                <w:i w:val="0"/>
                <w:iCs w:val="0"/>
                <w:color w:val="000000"/>
                <w:kern w:val="0"/>
                <w:sz w:val="18"/>
                <w:szCs w:val="18"/>
                <w:u w:val="none"/>
                <w:lang w:val="en-US" w:eastAsia="zh-CN" w:bidi="ar"/>
              </w:rPr>
              <w:t>项目名称</w:t>
            </w:r>
          </w:p>
        </w:tc>
        <w:tc>
          <w:tcPr>
            <w:tcW w:w="1307" w:type="dxa"/>
            <w:shd w:val="clear" w:color="auto" w:fill="6186D2"/>
            <w:vAlign w:val="center"/>
          </w:tcPr>
          <w:p w14:paraId="0CFDED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i w:val="0"/>
                <w:iCs w:val="0"/>
                <w:color w:val="000000"/>
                <w:sz w:val="18"/>
                <w:szCs w:val="18"/>
                <w:u w:val="none"/>
              </w:rPr>
            </w:pPr>
            <w:r>
              <w:rPr>
                <w:rFonts w:hint="eastAsia" w:ascii="宋体" w:hAnsi="宋体" w:eastAsia="宋体" w:cs="宋体"/>
                <w:b/>
                <w:bCs w:val="0"/>
                <w:i w:val="0"/>
                <w:iCs w:val="0"/>
                <w:color w:val="000000"/>
                <w:kern w:val="0"/>
                <w:sz w:val="18"/>
                <w:szCs w:val="18"/>
                <w:u w:val="none"/>
                <w:lang w:val="en-US" w:eastAsia="zh-CN" w:bidi="ar"/>
              </w:rPr>
              <w:t>合同额（万元）</w:t>
            </w:r>
          </w:p>
        </w:tc>
        <w:tc>
          <w:tcPr>
            <w:tcW w:w="3649" w:type="dxa"/>
            <w:shd w:val="clear" w:color="auto" w:fill="6186D2"/>
            <w:vAlign w:val="center"/>
          </w:tcPr>
          <w:p w14:paraId="4F03FA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i w:val="0"/>
                <w:iCs w:val="0"/>
                <w:color w:val="000000"/>
                <w:sz w:val="18"/>
                <w:szCs w:val="18"/>
                <w:u w:val="none"/>
              </w:rPr>
            </w:pPr>
            <w:r>
              <w:rPr>
                <w:rFonts w:hint="eastAsia" w:ascii="宋体" w:hAnsi="宋体" w:eastAsia="宋体" w:cs="宋体"/>
                <w:b/>
                <w:bCs w:val="0"/>
                <w:i w:val="0"/>
                <w:iCs w:val="0"/>
                <w:color w:val="000000"/>
                <w:kern w:val="0"/>
                <w:sz w:val="18"/>
                <w:szCs w:val="18"/>
                <w:u w:val="none"/>
                <w:lang w:val="en-US" w:eastAsia="zh-CN" w:bidi="ar"/>
              </w:rPr>
              <w:t>中标单位</w:t>
            </w:r>
          </w:p>
        </w:tc>
      </w:tr>
      <w:tr w14:paraId="065B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0" w:hRule="atLeast"/>
        </w:trPr>
        <w:tc>
          <w:tcPr>
            <w:tcW w:w="3307" w:type="dxa"/>
            <w:shd w:val="clear" w:color="auto" w:fill="EAEAEA"/>
            <w:vAlign w:val="center"/>
          </w:tcPr>
          <w:p w14:paraId="7A3E76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引江济淮二期工程（水利部分）全过程造价咨询1标段</w:t>
            </w:r>
          </w:p>
        </w:tc>
        <w:tc>
          <w:tcPr>
            <w:tcW w:w="1307" w:type="dxa"/>
            <w:shd w:val="clear" w:color="auto" w:fill="EAEAEA"/>
            <w:vAlign w:val="center"/>
          </w:tcPr>
          <w:p w14:paraId="642337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608</w:t>
            </w:r>
          </w:p>
        </w:tc>
        <w:tc>
          <w:tcPr>
            <w:tcW w:w="3649" w:type="dxa"/>
            <w:shd w:val="clear" w:color="auto" w:fill="EAEAEA"/>
            <w:vAlign w:val="center"/>
          </w:tcPr>
          <w:p w14:paraId="6B3933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名扬宇恒工程管理集团有限公司</w:t>
            </w:r>
          </w:p>
        </w:tc>
      </w:tr>
      <w:tr w14:paraId="40E5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307" w:type="dxa"/>
            <w:shd w:val="clear" w:color="auto" w:fill="FEFEFF"/>
            <w:vAlign w:val="center"/>
          </w:tcPr>
          <w:p w14:paraId="0465D4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引江济淮二期工程（水利部分）全过程造价咨询2标段</w:t>
            </w:r>
          </w:p>
        </w:tc>
        <w:tc>
          <w:tcPr>
            <w:tcW w:w="1307" w:type="dxa"/>
            <w:shd w:val="clear" w:color="auto" w:fill="FEFEFF"/>
            <w:vAlign w:val="center"/>
          </w:tcPr>
          <w:p w14:paraId="076450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610</w:t>
            </w:r>
          </w:p>
        </w:tc>
        <w:tc>
          <w:tcPr>
            <w:tcW w:w="3649" w:type="dxa"/>
            <w:shd w:val="clear" w:color="auto" w:fill="FEFEFF"/>
            <w:vAlign w:val="center"/>
          </w:tcPr>
          <w:p w14:paraId="4DD1D4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华联世纪工程咨询股份有限公司</w:t>
            </w:r>
          </w:p>
        </w:tc>
      </w:tr>
      <w:tr w14:paraId="598E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307" w:type="dxa"/>
            <w:shd w:val="clear" w:color="auto" w:fill="EAEAEA"/>
            <w:vAlign w:val="center"/>
          </w:tcPr>
          <w:p w14:paraId="392B8A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引江济淮二期工程（水利部分）全过程造价咨询3标段</w:t>
            </w:r>
          </w:p>
        </w:tc>
        <w:tc>
          <w:tcPr>
            <w:tcW w:w="1307" w:type="dxa"/>
            <w:shd w:val="clear" w:color="auto" w:fill="EAEAEA"/>
            <w:vAlign w:val="center"/>
          </w:tcPr>
          <w:p w14:paraId="18F229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500</w:t>
            </w:r>
          </w:p>
        </w:tc>
        <w:tc>
          <w:tcPr>
            <w:tcW w:w="3649" w:type="dxa"/>
            <w:shd w:val="clear" w:color="auto" w:fill="EAEAEA"/>
            <w:vAlign w:val="center"/>
          </w:tcPr>
          <w:p w14:paraId="2EE73C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安徽九通工程项目管理有限公司</w:t>
            </w:r>
          </w:p>
        </w:tc>
      </w:tr>
      <w:tr w14:paraId="3969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307" w:type="dxa"/>
            <w:shd w:val="clear" w:color="auto" w:fill="FEFEFF"/>
            <w:vAlign w:val="center"/>
          </w:tcPr>
          <w:p w14:paraId="3CB725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S10扬州至淮南高速公路滁州段项目跟踪审计</w:t>
            </w:r>
          </w:p>
        </w:tc>
        <w:tc>
          <w:tcPr>
            <w:tcW w:w="1307" w:type="dxa"/>
            <w:shd w:val="clear" w:color="auto" w:fill="FEFEFF"/>
            <w:vAlign w:val="center"/>
          </w:tcPr>
          <w:p w14:paraId="2BDAB3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524</w:t>
            </w:r>
          </w:p>
        </w:tc>
        <w:tc>
          <w:tcPr>
            <w:tcW w:w="3649" w:type="dxa"/>
            <w:shd w:val="clear" w:color="auto" w:fill="FEFEFF"/>
            <w:vAlign w:val="center"/>
          </w:tcPr>
          <w:p w14:paraId="5C3990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中佳信建设管理集团有限公司</w:t>
            </w:r>
          </w:p>
        </w:tc>
      </w:tr>
      <w:tr w14:paraId="04EA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307" w:type="dxa"/>
            <w:shd w:val="clear" w:color="auto" w:fill="EAEAEA"/>
            <w:vAlign w:val="center"/>
          </w:tcPr>
          <w:p w14:paraId="1D5083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合肥市轨道交通6号线一期造价咨询</w:t>
            </w:r>
          </w:p>
        </w:tc>
        <w:tc>
          <w:tcPr>
            <w:tcW w:w="1307" w:type="dxa"/>
            <w:shd w:val="clear" w:color="auto" w:fill="EAEAEA"/>
            <w:vAlign w:val="center"/>
          </w:tcPr>
          <w:p w14:paraId="7F0241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1268</w:t>
            </w:r>
          </w:p>
        </w:tc>
        <w:tc>
          <w:tcPr>
            <w:tcW w:w="3649" w:type="dxa"/>
            <w:shd w:val="clear" w:color="auto" w:fill="EAEAEA"/>
            <w:vAlign w:val="center"/>
          </w:tcPr>
          <w:p w14:paraId="5E5CF5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江苏天宏华信工程投资管理咨询有限公司和安徽精实工程管理有限公司组成的联合体</w:t>
            </w:r>
          </w:p>
        </w:tc>
      </w:tr>
      <w:tr w14:paraId="5EDA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307" w:type="dxa"/>
            <w:shd w:val="clear" w:color="auto" w:fill="FEFEFF"/>
            <w:vAlign w:val="center"/>
          </w:tcPr>
          <w:p w14:paraId="5C784B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合肥市轨道交通S1线造价咨询服务1标</w:t>
            </w:r>
          </w:p>
        </w:tc>
        <w:tc>
          <w:tcPr>
            <w:tcW w:w="1307" w:type="dxa"/>
            <w:shd w:val="clear" w:color="auto" w:fill="FEFEFF"/>
            <w:vAlign w:val="center"/>
          </w:tcPr>
          <w:p w14:paraId="5C6F59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1188</w:t>
            </w:r>
          </w:p>
        </w:tc>
        <w:tc>
          <w:tcPr>
            <w:tcW w:w="3649" w:type="dxa"/>
            <w:shd w:val="clear" w:color="auto" w:fill="FEFEFF"/>
            <w:vAlign w:val="center"/>
          </w:tcPr>
          <w:p w14:paraId="3F63C2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四川正则工程咨询股份有限公司</w:t>
            </w:r>
          </w:p>
        </w:tc>
      </w:tr>
      <w:tr w14:paraId="5ABA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3307" w:type="dxa"/>
            <w:shd w:val="clear" w:color="auto" w:fill="EAEAEA"/>
            <w:vAlign w:val="center"/>
          </w:tcPr>
          <w:p w14:paraId="398D0E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合肥新桥国际机场改扩建工程及城际铁路新桥机场站、S1线T2航站楼站工程施工阶段全过程造价咨询</w:t>
            </w:r>
          </w:p>
        </w:tc>
        <w:tc>
          <w:tcPr>
            <w:tcW w:w="1307" w:type="dxa"/>
            <w:shd w:val="clear" w:color="auto" w:fill="EAEAEA"/>
            <w:vAlign w:val="center"/>
          </w:tcPr>
          <w:p w14:paraId="2D49C5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596</w:t>
            </w:r>
          </w:p>
        </w:tc>
        <w:tc>
          <w:tcPr>
            <w:tcW w:w="3649" w:type="dxa"/>
            <w:shd w:val="clear" w:color="auto" w:fill="EAEAEA"/>
            <w:vAlign w:val="center"/>
          </w:tcPr>
          <w:p w14:paraId="7AD68C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i w:val="0"/>
                <w:iCs w:val="0"/>
                <w:color w:val="000000"/>
                <w:sz w:val="18"/>
                <w:szCs w:val="18"/>
                <w:u w:val="none"/>
              </w:rPr>
            </w:pPr>
            <w:r>
              <w:rPr>
                <w:rFonts w:hint="eastAsia" w:ascii="宋体" w:hAnsi="宋体" w:eastAsia="宋体" w:cs="宋体"/>
                <w:b w:val="0"/>
                <w:i w:val="0"/>
                <w:iCs w:val="0"/>
                <w:color w:val="000000"/>
                <w:kern w:val="0"/>
                <w:sz w:val="18"/>
                <w:szCs w:val="18"/>
                <w:u w:val="none"/>
                <w:lang w:val="en-US" w:eastAsia="zh-CN" w:bidi="ar"/>
              </w:rPr>
              <w:t>上海正弘建设工程顾问有限公司</w:t>
            </w:r>
          </w:p>
        </w:tc>
      </w:tr>
    </w:tbl>
    <w:p w14:paraId="3C688A6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bCs/>
          <w:color w:val="222222"/>
          <w:kern w:val="0"/>
          <w:sz w:val="24"/>
          <w:szCs w:val="24"/>
          <w:shd w:val="clear" w:color="auto" w:fill="FFFFFF"/>
          <w:lang w:bidi="ar"/>
        </w:rPr>
      </w:pPr>
    </w:p>
    <w:p w14:paraId="2A1A107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近几年合肥市造价项目合同额超过500万的重大项目，多为机场、轨道、水利、公路类项目，且中标单位多为外省企业或外省与安徽省企业组成联合体中标。</w:t>
      </w:r>
    </w:p>
    <w:p w14:paraId="640550A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2" w:firstLineChars="200"/>
        <w:jc w:val="left"/>
        <w:textAlignment w:val="auto"/>
        <w:rPr>
          <w:rFonts w:hint="default" w:ascii="宋体" w:hAnsi="宋体" w:eastAsia="宋体" w:cs="宋体"/>
          <w:b/>
          <w:bCs/>
          <w:i w:val="0"/>
          <w:iCs w:val="0"/>
          <w:caps w:val="0"/>
          <w:color w:val="000000"/>
          <w:spacing w:val="0"/>
          <w:sz w:val="28"/>
          <w:szCs w:val="28"/>
          <w:lang w:val="en-US" w:eastAsia="zh-CN"/>
        </w:rPr>
      </w:pPr>
      <w:r>
        <w:rPr>
          <w:rFonts w:hint="eastAsia" w:ascii="宋体" w:hAnsi="宋体" w:eastAsia="宋体" w:cs="宋体"/>
          <w:b/>
          <w:bCs/>
          <w:i w:val="0"/>
          <w:iCs w:val="0"/>
          <w:caps w:val="0"/>
          <w:color w:val="000000"/>
          <w:spacing w:val="0"/>
          <w:sz w:val="28"/>
          <w:szCs w:val="28"/>
          <w:lang w:val="en-US" w:eastAsia="zh-CN"/>
        </w:rPr>
        <w:t>（四）工程造价咨询行业现象及原因</w:t>
      </w:r>
    </w:p>
    <w:p w14:paraId="3119B9A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bCs/>
          <w:i w:val="0"/>
          <w:iCs w:val="0"/>
          <w:caps w:val="0"/>
          <w:color w:val="000000"/>
          <w:spacing w:val="0"/>
          <w:sz w:val="28"/>
          <w:szCs w:val="28"/>
          <w:lang w:val="en-US" w:eastAsia="zh-CN"/>
        </w:rPr>
      </w:pPr>
      <w:r>
        <w:rPr>
          <w:rFonts w:hint="eastAsia" w:ascii="宋体" w:hAnsi="宋体" w:eastAsia="宋体" w:cs="宋体"/>
          <w:b/>
          <w:bCs/>
          <w:i w:val="0"/>
          <w:iCs w:val="0"/>
          <w:caps w:val="0"/>
          <w:color w:val="000000"/>
          <w:spacing w:val="0"/>
          <w:sz w:val="28"/>
          <w:szCs w:val="28"/>
          <w:lang w:val="en-US" w:eastAsia="zh-CN"/>
        </w:rPr>
        <w:t>1.行业现象</w:t>
      </w:r>
    </w:p>
    <w:p w14:paraId="57AD68F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投资下行：受宏观经济环境和政策调整的影响，合肥市固定资产投资增速有所放缓，特别是在基础设施建设、房地产开发等关键领域。直接导致了造价咨询项目数量的减少和项目规模的缩小，加剧了行业内部的竞争压力。</w:t>
      </w:r>
    </w:p>
    <w:p w14:paraId="58967C2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企业众多：随着资质审批的取消，越来越多的企业涌入造价咨询领域，试图抓住市场机遇，分享行业发展的红利，这也导致了行业内部企业数量的激增和竞争格局的复杂化。</w:t>
      </w:r>
    </w:p>
    <w:p w14:paraId="559DA82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恶意低价：恶意低价现象在咨询服务行业日益凸显，部分造价咨询企业为了争夺市场份额，不惜以远低于成本价的水平承接项目，恶意低价往往伴随着服务质量的下降，客户对造价咨询行业的信任度和满意度也因此大打折扣。这不仅影响了行业的声誉，还阻碍了行业的可持续发展。</w:t>
      </w:r>
    </w:p>
    <w:p w14:paraId="0500C8C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同质化现象：大部分造价咨询企业在传统业务领域存在明显的同质化现象，主要体现在服务内容的高度相似、技术应用和人才结构的同质化等几个方面，它削弱了企业的核心竞争力，使得企业在激烈的市场竞争中难以脱颖而出；同时，也限制了行业的整体发展水平，阻碍了新技术、新模式的推广和应用。</w:t>
      </w:r>
    </w:p>
    <w:p w14:paraId="4655ACB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2" w:firstLineChars="200"/>
        <w:jc w:val="left"/>
        <w:textAlignment w:val="auto"/>
        <w:rPr>
          <w:rFonts w:hint="default" w:ascii="宋体" w:hAnsi="宋体" w:eastAsia="宋体" w:cs="宋体"/>
          <w:b/>
          <w:bCs/>
          <w:i w:val="0"/>
          <w:iCs w:val="0"/>
          <w:caps w:val="0"/>
          <w:color w:val="000000"/>
          <w:spacing w:val="0"/>
          <w:sz w:val="28"/>
          <w:szCs w:val="28"/>
          <w:lang w:val="en-US" w:eastAsia="zh-CN"/>
        </w:rPr>
      </w:pPr>
      <w:r>
        <w:rPr>
          <w:rFonts w:hint="eastAsia" w:ascii="宋体" w:hAnsi="宋体" w:eastAsia="宋体" w:cs="宋体"/>
          <w:b/>
          <w:bCs/>
          <w:i w:val="0"/>
          <w:iCs w:val="0"/>
          <w:caps w:val="0"/>
          <w:color w:val="000000"/>
          <w:spacing w:val="0"/>
          <w:sz w:val="28"/>
          <w:szCs w:val="28"/>
          <w:lang w:val="en-US" w:eastAsia="zh-CN"/>
        </w:rPr>
        <w:t>2.主要原因分析</w:t>
      </w:r>
    </w:p>
    <w:p w14:paraId="63C22CE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市场机制不完善：造价市场的竞争机制尚不健全，缺乏科学合理的定价体系和监管机制。恶意低价竞争成为部分企业获取项目的主要手段，而这种竞争方式往往牺牲了服务质量和职业操守。同时，市场准入门槛相对较低，导致一些不具备足够能力的企业进入市场，加剧了市场乱象。</w:t>
      </w:r>
    </w:p>
    <w:p w14:paraId="51C9870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企业责任意识淡薄：部分造价企业在追求短期利益的过程中忽视了长远发展的重要性，缺乏社会责任意识和质量意识。这些企业在项目执行过程中往往只关注成本控制和利润最大化，而忽视了服务质量和职业操守的提升。</w:t>
      </w:r>
    </w:p>
    <w:p w14:paraId="7101827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技术和服务创新不足：随着信息化技术的发展，造价咨询行业也在不断探索和应用新技术。然而，由于企业规模、实力和技术水平等方面的差异，不同企业在技术应用上的水平参差不齐。一些企业可能无法及时引进和应用新技术，导致了企业在服务内容和技术手段上的同质化现象严重，难以满足客户的多样化需求。同时，行业内部缺乏技术创新和服务创新的氛围，也限制了企业的差异化发展。</w:t>
      </w:r>
    </w:p>
    <w:p w14:paraId="57FC531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val="en-US" w:eastAsia="zh-CN"/>
        </w:rPr>
        <w:t>从业人员素质参差不齐：造价人员的专业素质直接关系到服务质量和行业形象。然而，当前造价行业中存在部分从业人员专业素质不高、缺乏职业道德和责任心的问题。这些人员在工作中往往难以胜任复杂多变的造价任务，甚至可能参与违法违规行为，进一步加剧了行业乱象。</w:t>
      </w:r>
    </w:p>
    <w:p w14:paraId="598941F5">
      <w:pPr>
        <w:widowControl/>
        <w:spacing w:before="156" w:beforeLines="50" w:after="156" w:afterLines="50" w:line="360" w:lineRule="auto"/>
        <w:ind w:firstLine="560" w:firstLineChars="200"/>
        <w:rPr>
          <w:rFonts w:ascii="Times New Roman" w:hAnsi="Times New Roman" w:eastAsia="黑体" w:cs="Times New Roman"/>
          <w:color w:val="222222"/>
          <w:kern w:val="0"/>
          <w:sz w:val="28"/>
          <w:szCs w:val="28"/>
          <w:highlight w:val="none"/>
          <w:shd w:val="clear" w:color="auto" w:fill="FFFFFF"/>
          <w:lang w:bidi="ar"/>
        </w:rPr>
      </w:pPr>
      <w:r>
        <w:rPr>
          <w:rFonts w:ascii="Times New Roman" w:hAnsi="Times New Roman" w:eastAsia="黑体" w:cs="Times New Roman"/>
          <w:color w:val="222222"/>
          <w:kern w:val="0"/>
          <w:sz w:val="28"/>
          <w:szCs w:val="28"/>
          <w:highlight w:val="none"/>
          <w:shd w:val="clear" w:color="auto" w:fill="FFFFFF"/>
          <w:lang w:bidi="ar"/>
        </w:rPr>
        <w:t>三、下一步工作重点</w:t>
      </w:r>
    </w:p>
    <w:p w14:paraId="56410C4E">
      <w:pPr>
        <w:widowControl/>
        <w:shd w:val="clear" w:color="auto" w:fill="FFFFFF"/>
        <w:spacing w:line="360" w:lineRule="auto"/>
        <w:ind w:firstLine="562" w:firstLineChars="200"/>
        <w:jc w:val="left"/>
        <w:rPr>
          <w:rFonts w:ascii="Times New Roman" w:hAnsi="Times New Roman" w:eastAsia="宋体" w:cs="Times New Roman"/>
          <w:b/>
          <w:bCs/>
          <w:sz w:val="28"/>
          <w:szCs w:val="28"/>
          <w:highlight w:val="none"/>
        </w:rPr>
      </w:pPr>
      <w:r>
        <w:rPr>
          <w:rFonts w:ascii="Times New Roman" w:hAnsi="Times New Roman" w:eastAsia="宋体" w:cs="Times New Roman"/>
          <w:b/>
          <w:bCs/>
          <w:sz w:val="28"/>
          <w:szCs w:val="28"/>
          <w:highlight w:val="none"/>
        </w:rPr>
        <w:t>（一）发展方向</w:t>
      </w:r>
    </w:p>
    <w:p w14:paraId="4878A2EA">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1.数字化转型是工程造价咨询行业的重要发展方向。</w:t>
      </w:r>
    </w:p>
    <w:p w14:paraId="01BCB413">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随着互联网、大数据、人工智能等技术的发展，工程造价咨询企业可以更加精准地进行数据分析、预测和决策，提高咨询服务的质量和效率。例如，全过程工程造价咨询的发展需要数字化赋能，帮助客户降本增效。</w:t>
      </w:r>
    </w:p>
    <w:p w14:paraId="68C561E9">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2.在市场经济的背景下，多元化经营也是工程造价咨询行业的发展方向。</w:t>
      </w:r>
    </w:p>
    <w:p w14:paraId="5CBDF4FE">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工程造价咨询公司可以拓展其业务领域，包括工程项目投资、设计、招标、采购、施工、运维等多个方面。这将有助于帮助企业在不同的市场环境中更好地应对挑战。全过程工程造价咨询作为一种新兴的服务模式，将工程造价、工程监理、项目管理等环节有机结合，为客户提供一站式服务。这种模式的发展趋势表明，工程造价咨询行业将更加注重提供综合性的服务，以满足市场需求的多样化。</w:t>
      </w:r>
    </w:p>
    <w:p w14:paraId="6B54E348">
      <w:pPr>
        <w:spacing w:line="360" w:lineRule="auto"/>
        <w:ind w:firstLine="560" w:firstLineChars="200"/>
        <w:rPr>
          <w:rFonts w:hint="default" w:ascii="Times New Roman" w:hAnsi="Times New Roman" w:eastAsia="宋体" w:cs="Times New Roman"/>
          <w:sz w:val="28"/>
          <w:szCs w:val="28"/>
          <w:highlight w:val="none"/>
          <w:lang w:val="en-US" w:eastAsia="zh-CN"/>
        </w:rPr>
      </w:pPr>
      <w:r>
        <w:rPr>
          <w:rFonts w:hint="eastAsia" w:ascii="Times New Roman" w:hAnsi="Times New Roman" w:eastAsia="宋体" w:cs="Times New Roman"/>
          <w:sz w:val="28"/>
          <w:szCs w:val="28"/>
          <w:highlight w:val="none"/>
          <w:lang w:val="en-US" w:eastAsia="zh-CN"/>
        </w:rPr>
        <w:t>3.加强从业人员职业信用管理是工程造价咨询行业发展方向。</w:t>
      </w:r>
      <w:r>
        <w:rPr>
          <w:rFonts w:hint="eastAsia" w:ascii="宋体" w:hAnsi="宋体" w:eastAsia="宋体" w:cs="宋体"/>
          <w:b w:val="0"/>
          <w:bCs/>
          <w:i w:val="0"/>
          <w:iCs w:val="0"/>
          <w:caps w:val="0"/>
          <w:color w:val="auto"/>
          <w:spacing w:val="0"/>
          <w:sz w:val="28"/>
          <w:szCs w:val="28"/>
          <w:highlight w:val="none"/>
          <w:lang w:val="en-US" w:eastAsia="zh-CN"/>
        </w:rPr>
        <w:t>推进合肥市注册造价工程师职业信用建设，引导注册造价工程师诚信履约，规范注册造价工程师执业行为，提高注册造价工程师综合素质。</w:t>
      </w:r>
    </w:p>
    <w:p w14:paraId="1C8B2A62">
      <w:pPr>
        <w:widowControl/>
        <w:shd w:val="clear" w:color="auto" w:fill="FFFFFF"/>
        <w:spacing w:line="360" w:lineRule="auto"/>
        <w:ind w:firstLine="562" w:firstLineChars="200"/>
        <w:jc w:val="left"/>
        <w:rPr>
          <w:rFonts w:ascii="Times New Roman" w:hAnsi="Times New Roman" w:eastAsia="宋体" w:cs="Times New Roman"/>
          <w:b/>
          <w:bCs/>
          <w:sz w:val="28"/>
          <w:szCs w:val="28"/>
          <w:highlight w:val="none"/>
        </w:rPr>
      </w:pPr>
      <w:r>
        <w:rPr>
          <w:rFonts w:ascii="Times New Roman" w:hAnsi="Times New Roman" w:eastAsia="宋体" w:cs="Times New Roman"/>
          <w:b/>
          <w:bCs/>
          <w:sz w:val="28"/>
          <w:szCs w:val="28"/>
          <w:highlight w:val="none"/>
        </w:rPr>
        <w:t>（二）发展目标</w:t>
      </w:r>
    </w:p>
    <w:p w14:paraId="420FDA91">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1.市场规模和增长：工程造价咨询行业市场规模稳中有升，未来五年内年复合增长率争取与国家宏观经济增长指数保持一致。</w:t>
      </w:r>
    </w:p>
    <w:p w14:paraId="7E1584B2">
      <w:pPr>
        <w:spacing w:line="360" w:lineRule="auto"/>
        <w:ind w:firstLine="560" w:firstLineChars="20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业务范围扩大：随着建筑行业的快速发展和城市化进程的加速，工程造价咨询业务范围不断扩大，涉及到建筑工程的全过程，包括前期策划、设计、施工、竣工、运维等各阶段。未来将拓展司法、监察、财政、税务、水利、交通等各领域的相关业务。</w:t>
      </w:r>
    </w:p>
    <w:p w14:paraId="21FA5D18">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3.技术应用：工程造价咨询行业正在逐步实现数字化转型，大数据、人工智能等技术的发展将使企业能够更加精准地进行数据分析、预测和决策。BIM技术将持续赋能企业工程造价咨询业务。</w:t>
      </w:r>
    </w:p>
    <w:p w14:paraId="5F20A11C">
      <w:pPr>
        <w:spacing w:line="360" w:lineRule="auto"/>
        <w:ind w:firstLine="560" w:firstLineChars="20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4.全过程工程造价咨询：全过程工程造价咨询作为一种新兴的服务模式，将勘察设计、投资咨询、工程监理、项目管理等环节有机结合，为客户提供一站式服务，预计将成为行业主要收入来源。</w:t>
      </w:r>
    </w:p>
    <w:p w14:paraId="5F92E0D4">
      <w:pPr>
        <w:numPr>
          <w:ilvl w:val="0"/>
          <w:numId w:val="1"/>
        </w:numPr>
        <w:spacing w:line="360" w:lineRule="auto"/>
        <w:ind w:firstLine="562" w:firstLineChars="200"/>
        <w:rPr>
          <w:rFonts w:ascii="Times New Roman" w:hAnsi="Times New Roman" w:eastAsia="宋体" w:cs="Times New Roman"/>
          <w:b/>
          <w:bCs/>
          <w:sz w:val="28"/>
          <w:szCs w:val="28"/>
        </w:rPr>
      </w:pPr>
      <w:r>
        <w:rPr>
          <w:rFonts w:ascii="Times New Roman" w:hAnsi="Times New Roman" w:eastAsia="宋体" w:cs="Times New Roman"/>
          <w:b/>
          <w:bCs/>
          <w:sz w:val="28"/>
          <w:szCs w:val="28"/>
        </w:rPr>
        <w:t>推进举措</w:t>
      </w:r>
    </w:p>
    <w:p w14:paraId="1F60ECDC">
      <w:pPr>
        <w:widowControl/>
        <w:spacing w:line="360" w:lineRule="auto"/>
        <w:ind w:firstLine="643"/>
        <w:rPr>
          <w:rFonts w:ascii="Times New Roman" w:hAnsi="Times New Roman" w:eastAsia="宋体" w:cs="Times New Roman"/>
          <w:sz w:val="28"/>
          <w:szCs w:val="28"/>
          <w:highlight w:val="none"/>
        </w:rPr>
      </w:pPr>
      <w:r>
        <w:rPr>
          <w:rFonts w:ascii="Times New Roman" w:hAnsi="Times New Roman" w:eastAsia="宋体" w:cs="Times New Roman"/>
          <w:b/>
          <w:bCs/>
          <w:sz w:val="28"/>
          <w:szCs w:val="28"/>
          <w:highlight w:val="none"/>
        </w:rPr>
        <w:t>1.</w:t>
      </w:r>
      <w:r>
        <w:rPr>
          <w:rFonts w:hint="eastAsia" w:ascii="Times New Roman" w:hAnsi="Times New Roman" w:eastAsia="宋体" w:cs="Times New Roman"/>
          <w:b/>
          <w:bCs/>
          <w:sz w:val="28"/>
          <w:szCs w:val="28"/>
          <w:highlight w:val="none"/>
          <w:lang w:val="en-US" w:eastAsia="zh-CN"/>
        </w:rPr>
        <w:t>优化营商环境</w:t>
      </w:r>
      <w:r>
        <w:rPr>
          <w:rFonts w:ascii="Times New Roman" w:hAnsi="Times New Roman" w:eastAsia="宋体" w:cs="Times New Roman"/>
          <w:b/>
          <w:bCs/>
          <w:sz w:val="28"/>
          <w:szCs w:val="28"/>
          <w:highlight w:val="none"/>
        </w:rPr>
        <w:t>。</w:t>
      </w:r>
      <w:r>
        <w:rPr>
          <w:rFonts w:hint="eastAsia" w:ascii="Times New Roman" w:hAnsi="Times New Roman" w:eastAsia="宋体" w:cs="Times New Roman"/>
          <w:sz w:val="28"/>
          <w:szCs w:val="28"/>
          <w:highlight w:val="none"/>
          <w:lang w:val="en-US" w:eastAsia="zh-CN"/>
        </w:rPr>
        <w:t>一是规范市场管理，规避市场恶性竞争，清单控制价编制垄断，鼓励企业差异化发展，提升市场自由竞争度，营造良好的营商环境，推动行业高质量发展，引导行业优质优价。对服务重点产业成效突出的工程造价咨询企业提供良好的市场环境和政策支持‌。二是通过简化行政审批流程、财政补贴、税收优惠、提供一站式服务等措施，降低企业运营成本，相关部门可积极对接并提供解决方案，结合企业的基本状况、管理能力、经营业绩等，提出企业建设方面的改进意见，鼓励企业在造价行业新时代下善于应对新情况、解决新问题、实现新发展，‌确保政策服务的完善和有效实施。</w:t>
      </w:r>
    </w:p>
    <w:p w14:paraId="22DF9F26">
      <w:pPr>
        <w:widowControl/>
        <w:spacing w:line="360" w:lineRule="auto"/>
        <w:ind w:firstLine="562" w:firstLineChars="200"/>
        <w:rPr>
          <w:rFonts w:hint="default" w:ascii="Times New Roman" w:hAnsi="Times New Roman" w:eastAsia="宋体" w:cs="Times New Roman"/>
          <w:sz w:val="28"/>
          <w:szCs w:val="28"/>
          <w:highlight w:val="none"/>
          <w:lang w:val="en-US" w:eastAsia="zh-CN"/>
        </w:rPr>
      </w:pPr>
      <w:r>
        <w:rPr>
          <w:rFonts w:ascii="Times New Roman" w:hAnsi="Times New Roman" w:eastAsia="宋体" w:cs="Times New Roman"/>
          <w:b/>
          <w:bCs/>
          <w:sz w:val="28"/>
          <w:szCs w:val="28"/>
          <w:highlight w:val="none"/>
        </w:rPr>
        <w:t>2.</w:t>
      </w:r>
      <w:r>
        <w:rPr>
          <w:rFonts w:hint="eastAsia" w:ascii="Times New Roman" w:hAnsi="Times New Roman" w:eastAsia="宋体" w:cs="Times New Roman"/>
          <w:b/>
          <w:bCs/>
          <w:sz w:val="28"/>
          <w:szCs w:val="28"/>
          <w:highlight w:val="none"/>
          <w:lang w:val="en-US" w:eastAsia="zh-CN"/>
        </w:rPr>
        <w:t>合规化管理</w:t>
      </w:r>
      <w:r>
        <w:rPr>
          <w:rFonts w:ascii="Times New Roman" w:hAnsi="Times New Roman" w:eastAsia="宋体" w:cs="Times New Roman"/>
          <w:b/>
          <w:bCs/>
          <w:sz w:val="28"/>
          <w:szCs w:val="28"/>
          <w:highlight w:val="none"/>
        </w:rPr>
        <w:t>。</w:t>
      </w:r>
      <w:r>
        <w:rPr>
          <w:rFonts w:hint="eastAsia" w:ascii="Times New Roman" w:hAnsi="Times New Roman" w:eastAsia="宋体" w:cs="Times New Roman"/>
          <w:sz w:val="28"/>
          <w:szCs w:val="28"/>
          <w:highlight w:val="none"/>
          <w:lang w:val="en-US" w:eastAsia="zh-CN"/>
        </w:rPr>
        <w:t>积极推进安徽省住建厅造价咨询招标文件示范文本应用，规范行业管理。可实施清单控制价“双编双审”模式，加强造价前期控制，鼓励各地市造价行业积极交流造价管理经验办法，互相学习，取长补短，吸取好的经验教训。为加强造价前期管控，实施编审分离，根据该原则，编制人员和审查人员应分别履行各自的职责，相互独立，互不干预。这样可以有效避免利益冲突和不当干预，提高工程造价编审的质量和可靠性。</w:t>
      </w:r>
    </w:p>
    <w:p w14:paraId="55B5E2B2">
      <w:pPr>
        <w:widowControl/>
        <w:spacing w:line="360" w:lineRule="auto"/>
        <w:ind w:firstLine="562" w:firstLineChars="200"/>
        <w:rPr>
          <w:rFonts w:hint="default" w:ascii="Times New Roman" w:hAnsi="Times New Roman" w:eastAsia="宋体" w:cs="Times New Roman"/>
          <w:sz w:val="28"/>
          <w:szCs w:val="28"/>
          <w:highlight w:val="none"/>
          <w:lang w:val="en-US" w:eastAsia="zh-CN"/>
        </w:rPr>
      </w:pPr>
      <w:r>
        <w:rPr>
          <w:rFonts w:ascii="Times New Roman" w:hAnsi="Times New Roman" w:eastAsia="宋体" w:cs="Times New Roman"/>
          <w:b/>
          <w:bCs/>
          <w:sz w:val="28"/>
          <w:szCs w:val="28"/>
          <w:highlight w:val="none"/>
        </w:rPr>
        <w:t>3.加强人才</w:t>
      </w:r>
      <w:r>
        <w:rPr>
          <w:rFonts w:hint="eastAsia" w:ascii="Times New Roman" w:hAnsi="Times New Roman" w:eastAsia="宋体" w:cs="Times New Roman"/>
          <w:b/>
          <w:bCs/>
          <w:sz w:val="28"/>
          <w:szCs w:val="28"/>
          <w:highlight w:val="none"/>
          <w:lang w:val="en-US" w:eastAsia="zh-CN"/>
        </w:rPr>
        <w:t>梯队</w:t>
      </w:r>
      <w:r>
        <w:rPr>
          <w:rFonts w:ascii="Times New Roman" w:hAnsi="Times New Roman" w:eastAsia="宋体" w:cs="Times New Roman"/>
          <w:b/>
          <w:bCs/>
          <w:sz w:val="28"/>
          <w:szCs w:val="28"/>
          <w:highlight w:val="none"/>
        </w:rPr>
        <w:t>建设。</w:t>
      </w:r>
      <w:r>
        <w:rPr>
          <w:rFonts w:hint="eastAsia" w:ascii="Times New Roman" w:hAnsi="Times New Roman" w:eastAsia="宋体" w:cs="Times New Roman"/>
          <w:sz w:val="28"/>
          <w:szCs w:val="28"/>
          <w:highlight w:val="none"/>
          <w:lang w:val="en-US" w:eastAsia="zh-CN"/>
        </w:rPr>
        <w:t>强化落实地区人才引进相关政策，落实到实处，引进行业领军人物，建立人才库，提升高端服务业人员的各项优惠政策。推动校企合作，联合培养，开展科技创新项目的课程，构建人才梯队</w:t>
      </w:r>
      <w:r>
        <w:rPr>
          <w:rFonts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lang w:val="en-US" w:eastAsia="zh-CN"/>
        </w:rPr>
        <w:t>建设全面执业资格和职业信用评价体系，提升造价人员的综合素质和专业水平。</w:t>
      </w:r>
    </w:p>
    <w:p w14:paraId="6B42767D">
      <w:pPr>
        <w:widowControl/>
        <w:spacing w:before="106" w:after="106" w:line="360" w:lineRule="auto"/>
        <w:ind w:firstLine="562" w:firstLineChars="200"/>
        <w:rPr>
          <w:rFonts w:ascii="Times New Roman" w:hAnsi="Times New Roman" w:eastAsia="宋体" w:cs="Times New Roman"/>
          <w:sz w:val="28"/>
          <w:szCs w:val="28"/>
          <w:highlight w:val="none"/>
        </w:rPr>
      </w:pPr>
      <w:r>
        <w:rPr>
          <w:rFonts w:ascii="Times New Roman" w:hAnsi="Times New Roman" w:eastAsia="宋体" w:cs="Times New Roman"/>
          <w:b/>
          <w:bCs/>
          <w:sz w:val="28"/>
          <w:szCs w:val="28"/>
          <w:highlight w:val="none"/>
        </w:rPr>
        <w:t>4.</w:t>
      </w:r>
      <w:r>
        <w:rPr>
          <w:rFonts w:hint="eastAsia" w:ascii="Times New Roman" w:hAnsi="Times New Roman" w:eastAsia="宋体" w:cs="Times New Roman"/>
          <w:b/>
          <w:bCs/>
          <w:sz w:val="28"/>
          <w:szCs w:val="28"/>
          <w:highlight w:val="none"/>
          <w:lang w:val="en-US" w:eastAsia="zh-CN"/>
        </w:rPr>
        <w:t>建立</w:t>
      </w:r>
      <w:r>
        <w:rPr>
          <w:rFonts w:ascii="Times New Roman" w:hAnsi="Times New Roman" w:eastAsia="宋体" w:cs="Times New Roman"/>
          <w:b/>
          <w:bCs/>
          <w:sz w:val="28"/>
          <w:szCs w:val="28"/>
          <w:highlight w:val="none"/>
        </w:rPr>
        <w:t>健全行业监管机制。</w:t>
      </w:r>
      <w:r>
        <w:rPr>
          <w:rFonts w:hint="eastAsia" w:ascii="Times New Roman" w:hAnsi="Times New Roman" w:eastAsia="宋体" w:cs="Times New Roman"/>
          <w:sz w:val="28"/>
          <w:szCs w:val="28"/>
          <w:highlight w:val="none"/>
          <w:lang w:val="en-US" w:eastAsia="zh-CN"/>
        </w:rPr>
        <w:t>建立健全工程造价监管机制，保障施工企业和业主合法权益的基础和前提。工程造价咨询企业应积极</w:t>
      </w:r>
      <w:r>
        <w:rPr>
          <w:rFonts w:ascii="Times New Roman" w:hAnsi="Times New Roman" w:eastAsia="宋体" w:cs="Times New Roman"/>
          <w:sz w:val="28"/>
          <w:szCs w:val="28"/>
          <w:highlight w:val="none"/>
        </w:rPr>
        <w:t>配合上级</w:t>
      </w:r>
      <w:r>
        <w:rPr>
          <w:rFonts w:hint="eastAsia" w:ascii="Times New Roman" w:hAnsi="Times New Roman" w:eastAsia="宋体" w:cs="Times New Roman"/>
          <w:sz w:val="28"/>
          <w:szCs w:val="28"/>
          <w:highlight w:val="none"/>
          <w:lang w:val="en-US" w:eastAsia="zh-CN"/>
        </w:rPr>
        <w:t>行政主管</w:t>
      </w:r>
      <w:r>
        <w:rPr>
          <w:rFonts w:ascii="Times New Roman" w:hAnsi="Times New Roman" w:eastAsia="宋体" w:cs="Times New Roman"/>
          <w:sz w:val="28"/>
          <w:szCs w:val="28"/>
          <w:highlight w:val="none"/>
        </w:rPr>
        <w:t>部门监管。</w:t>
      </w:r>
      <w:r>
        <w:rPr>
          <w:rFonts w:hint="eastAsia" w:ascii="Times New Roman" w:hAnsi="Times New Roman" w:eastAsia="宋体" w:cs="Times New Roman"/>
          <w:sz w:val="28"/>
          <w:szCs w:val="28"/>
          <w:highlight w:val="none"/>
          <w:lang w:val="en-US" w:eastAsia="zh-CN"/>
        </w:rPr>
        <w:t>加强合同履约阶段的监管力度，优化工程造价咨询市场。政府和社会共同努力，</w:t>
      </w:r>
      <w:r>
        <w:rPr>
          <w:rFonts w:ascii="Times New Roman" w:hAnsi="Times New Roman" w:eastAsia="宋体" w:cs="Times New Roman"/>
          <w:sz w:val="28"/>
          <w:szCs w:val="28"/>
          <w:highlight w:val="none"/>
        </w:rPr>
        <w:t>加强</w:t>
      </w:r>
      <w:r>
        <w:rPr>
          <w:rFonts w:hint="eastAsia" w:ascii="Times New Roman" w:hAnsi="Times New Roman" w:eastAsia="宋体" w:cs="Times New Roman"/>
          <w:sz w:val="28"/>
          <w:szCs w:val="28"/>
          <w:highlight w:val="none"/>
          <w:lang w:val="en-US" w:eastAsia="zh-CN"/>
        </w:rPr>
        <w:t>各部门间的</w:t>
      </w:r>
      <w:r>
        <w:rPr>
          <w:rFonts w:ascii="Times New Roman" w:hAnsi="Times New Roman" w:eastAsia="宋体" w:cs="Times New Roman"/>
          <w:sz w:val="28"/>
          <w:szCs w:val="28"/>
          <w:highlight w:val="none"/>
        </w:rPr>
        <w:t>工作协调，统筹做好监管工作，</w:t>
      </w:r>
      <w:r>
        <w:rPr>
          <w:rFonts w:hint="eastAsia" w:ascii="Times New Roman" w:hAnsi="Times New Roman" w:eastAsia="宋体" w:cs="Times New Roman"/>
          <w:sz w:val="28"/>
          <w:szCs w:val="28"/>
          <w:highlight w:val="none"/>
          <w:lang w:val="en-US" w:eastAsia="zh-CN"/>
        </w:rPr>
        <w:t>建立一个科学化、规范化、透明化的工程造价监管体系</w:t>
      </w:r>
      <w:r>
        <w:rPr>
          <w:rFonts w:ascii="Times New Roman" w:hAnsi="Times New Roman" w:eastAsia="宋体" w:cs="Times New Roman"/>
          <w:sz w:val="28"/>
          <w:szCs w:val="28"/>
          <w:highlight w:val="none"/>
        </w:rPr>
        <w:t>。</w:t>
      </w:r>
    </w:p>
    <w:p w14:paraId="1358F088">
      <w:pPr>
        <w:widowControl/>
        <w:spacing w:line="360" w:lineRule="auto"/>
        <w:ind w:firstLine="562" w:firstLineChars="200"/>
        <w:jc w:val="left"/>
        <w:rPr>
          <w:rFonts w:ascii="Times New Roman" w:hAnsi="Times New Roman" w:eastAsia="宋体" w:cs="Times New Roman"/>
          <w:sz w:val="28"/>
          <w:szCs w:val="28"/>
          <w:highlight w:val="none"/>
        </w:rPr>
      </w:pPr>
      <w:r>
        <w:rPr>
          <w:rFonts w:ascii="Times New Roman" w:hAnsi="Times New Roman" w:eastAsia="宋体" w:cs="Times New Roman"/>
          <w:b/>
          <w:bCs/>
          <w:sz w:val="28"/>
          <w:szCs w:val="28"/>
          <w:highlight w:val="none"/>
        </w:rPr>
        <w:t>5.发挥行业组织作用。</w:t>
      </w:r>
      <w:r>
        <w:rPr>
          <w:rFonts w:ascii="Times New Roman" w:hAnsi="Times New Roman" w:eastAsia="宋体" w:cs="Times New Roman"/>
          <w:sz w:val="28"/>
          <w:szCs w:val="28"/>
          <w:highlight w:val="none"/>
        </w:rPr>
        <w:t>积极发挥‌合肥市</w:t>
      </w:r>
      <w:r>
        <w:rPr>
          <w:rFonts w:hint="eastAsia" w:ascii="Times New Roman" w:hAnsi="Times New Roman" w:eastAsia="宋体" w:cs="Times New Roman"/>
          <w:sz w:val="28"/>
          <w:szCs w:val="28"/>
          <w:highlight w:val="none"/>
          <w:lang w:val="en-US" w:eastAsia="zh-CN"/>
        </w:rPr>
        <w:t>建设工程造价协会引领</w:t>
      </w:r>
      <w:r>
        <w:rPr>
          <w:rFonts w:ascii="Times New Roman" w:hAnsi="Times New Roman" w:eastAsia="宋体" w:cs="Times New Roman"/>
          <w:sz w:val="28"/>
          <w:szCs w:val="28"/>
          <w:highlight w:val="none"/>
        </w:rPr>
        <w:t>作用，促进行业</w:t>
      </w:r>
      <w:r>
        <w:rPr>
          <w:rFonts w:hint="eastAsia" w:ascii="Times New Roman" w:hAnsi="Times New Roman" w:eastAsia="宋体" w:cs="Times New Roman"/>
          <w:sz w:val="28"/>
          <w:szCs w:val="28"/>
          <w:highlight w:val="none"/>
          <w:lang w:val="en-US" w:eastAsia="zh-CN"/>
        </w:rPr>
        <w:t>发展</w:t>
      </w:r>
      <w:r>
        <w:rPr>
          <w:rFonts w:ascii="Times New Roman" w:hAnsi="Times New Roman" w:eastAsia="宋体" w:cs="Times New Roman"/>
          <w:sz w:val="28"/>
          <w:szCs w:val="28"/>
          <w:highlight w:val="none"/>
        </w:rPr>
        <w:t>交流。做好职业</w:t>
      </w:r>
      <w:r>
        <w:rPr>
          <w:rFonts w:hint="eastAsia" w:ascii="Times New Roman" w:hAnsi="Times New Roman" w:eastAsia="宋体" w:cs="Times New Roman"/>
          <w:sz w:val="28"/>
          <w:szCs w:val="28"/>
          <w:highlight w:val="none"/>
          <w:lang w:val="en-US" w:eastAsia="zh-CN"/>
        </w:rPr>
        <w:t>信用</w:t>
      </w:r>
      <w:r>
        <w:rPr>
          <w:rFonts w:ascii="Times New Roman" w:hAnsi="Times New Roman" w:eastAsia="宋体" w:cs="Times New Roman"/>
          <w:sz w:val="28"/>
          <w:szCs w:val="28"/>
          <w:highlight w:val="none"/>
        </w:rPr>
        <w:t>正面引导培训，强化</w:t>
      </w:r>
      <w:r>
        <w:rPr>
          <w:rFonts w:hint="eastAsia" w:ascii="Times New Roman" w:hAnsi="Times New Roman" w:eastAsia="宋体" w:cs="Times New Roman"/>
          <w:sz w:val="28"/>
          <w:szCs w:val="28"/>
          <w:highlight w:val="none"/>
          <w:lang w:val="en-US" w:eastAsia="zh-CN"/>
        </w:rPr>
        <w:t>行业</w:t>
      </w:r>
      <w:r>
        <w:rPr>
          <w:rFonts w:ascii="Times New Roman" w:hAnsi="Times New Roman" w:eastAsia="宋体" w:cs="Times New Roman"/>
          <w:sz w:val="28"/>
          <w:szCs w:val="28"/>
          <w:highlight w:val="none"/>
        </w:rPr>
        <w:t>自律，提升</w:t>
      </w:r>
      <w:r>
        <w:rPr>
          <w:rFonts w:hint="eastAsia" w:ascii="Times New Roman" w:hAnsi="Times New Roman" w:eastAsia="宋体" w:cs="Times New Roman"/>
          <w:sz w:val="28"/>
          <w:szCs w:val="28"/>
          <w:highlight w:val="none"/>
          <w:lang w:val="en-US" w:eastAsia="zh-CN"/>
        </w:rPr>
        <w:t>行业影响</w:t>
      </w:r>
      <w:r>
        <w:rPr>
          <w:rFonts w:ascii="Times New Roman" w:hAnsi="Times New Roman" w:eastAsia="宋体" w:cs="Times New Roman"/>
          <w:sz w:val="28"/>
          <w:szCs w:val="28"/>
          <w:highlight w:val="none"/>
        </w:rPr>
        <w:t>力。</w:t>
      </w:r>
    </w:p>
    <w:p w14:paraId="3A59B75E">
      <w:pPr>
        <w:widowControl/>
        <w:spacing w:line="360" w:lineRule="auto"/>
        <w:ind w:firstLine="560" w:firstLineChars="200"/>
        <w:jc w:val="left"/>
        <w:rPr>
          <w:rFonts w:ascii="Times New Roman" w:hAnsi="Times New Roman" w:eastAsia="宋体" w:cs="Times New Roman"/>
          <w:sz w:val="28"/>
          <w:szCs w:val="28"/>
          <w:highlight w:val="none"/>
        </w:rPr>
      </w:pPr>
    </w:p>
    <w:p w14:paraId="4AF8FB7B">
      <w:pPr>
        <w:widowControl/>
        <w:spacing w:line="360" w:lineRule="auto"/>
        <w:ind w:firstLine="560" w:firstLineChars="200"/>
        <w:jc w:val="left"/>
        <w:rPr>
          <w:rFonts w:ascii="Times New Roman" w:hAnsi="Times New Roman" w:eastAsia="宋体" w:cs="Times New Roman"/>
          <w:sz w:val="28"/>
          <w:szCs w:val="28"/>
          <w:highlight w:val="none"/>
        </w:rPr>
      </w:pPr>
    </w:p>
    <w:p w14:paraId="185BEA93">
      <w:pPr>
        <w:widowControl/>
        <w:spacing w:line="360" w:lineRule="auto"/>
        <w:ind w:firstLine="560" w:firstLineChars="200"/>
        <w:jc w:val="left"/>
        <w:rPr>
          <w:rFonts w:ascii="Times New Roman" w:hAnsi="Times New Roman" w:eastAsia="宋体" w:cs="Times New Roman"/>
          <w:sz w:val="28"/>
          <w:szCs w:val="28"/>
          <w:highlight w:val="none"/>
        </w:rPr>
      </w:pPr>
    </w:p>
    <w:p w14:paraId="115F2201">
      <w:pPr>
        <w:widowControl/>
        <w:spacing w:line="360" w:lineRule="auto"/>
        <w:ind w:firstLine="560" w:firstLineChars="200"/>
        <w:jc w:val="left"/>
        <w:rPr>
          <w:rFonts w:ascii="Times New Roman" w:hAnsi="Times New Roman" w:eastAsia="宋体" w:cs="Times New Roman"/>
          <w:sz w:val="28"/>
          <w:szCs w:val="28"/>
          <w:highlight w:val="none"/>
        </w:rPr>
      </w:pPr>
    </w:p>
    <w:p w14:paraId="7AE6826F">
      <w:pPr>
        <w:widowControl/>
        <w:spacing w:line="360" w:lineRule="auto"/>
        <w:ind w:firstLine="560" w:firstLineChars="200"/>
        <w:jc w:val="left"/>
        <w:rPr>
          <w:rFonts w:ascii="Times New Roman" w:hAnsi="Times New Roman" w:eastAsia="宋体" w:cs="Times New Roman"/>
          <w:sz w:val="28"/>
          <w:szCs w:val="28"/>
          <w:highlight w:val="none"/>
        </w:rPr>
      </w:pPr>
    </w:p>
    <w:p w14:paraId="2236FA7E">
      <w:pPr>
        <w:widowControl/>
        <w:spacing w:line="360" w:lineRule="auto"/>
        <w:ind w:firstLine="560" w:firstLineChars="200"/>
        <w:jc w:val="left"/>
        <w:rPr>
          <w:rFonts w:ascii="Times New Roman" w:hAnsi="Times New Roman" w:eastAsia="宋体" w:cs="Times New Roman"/>
          <w:sz w:val="28"/>
          <w:szCs w:val="28"/>
          <w:highlight w:val="none"/>
        </w:rPr>
      </w:pPr>
    </w:p>
    <w:p w14:paraId="645BC825">
      <w:pPr>
        <w:widowControl/>
        <w:spacing w:line="360" w:lineRule="auto"/>
        <w:ind w:firstLine="560" w:firstLineChars="200"/>
        <w:jc w:val="left"/>
        <w:rPr>
          <w:rFonts w:ascii="Times New Roman" w:hAnsi="Times New Roman" w:eastAsia="宋体" w:cs="Times New Roman"/>
          <w:sz w:val="28"/>
          <w:szCs w:val="28"/>
          <w:highlight w:val="none"/>
        </w:rPr>
      </w:pPr>
      <w:bookmarkStart w:id="0" w:name="_GoBack"/>
      <w:bookmarkEnd w:id="0"/>
    </w:p>
    <w:p w14:paraId="4582A4CF">
      <w:pPr>
        <w:keepNext w:val="0"/>
        <w:keepLines w:val="0"/>
        <w:pageBreakBefore w:val="0"/>
        <w:widowControl/>
        <w:kinsoku/>
        <w:wordWrap/>
        <w:overflowPunct/>
        <w:topLinePunct w:val="0"/>
        <w:autoSpaceDE/>
        <w:autoSpaceDN/>
        <w:bidi w:val="0"/>
        <w:adjustRightInd/>
        <w:snapToGrid w:val="0"/>
        <w:spacing w:line="240" w:lineRule="auto"/>
        <w:ind w:firstLine="640" w:firstLineChars="200"/>
        <w:jc w:val="center"/>
        <w:textAlignment w:val="auto"/>
        <w:rPr>
          <w:rFonts w:ascii="Times New Roman" w:hAnsi="Times New Roman" w:eastAsia="黑体" w:cs="Times New Roman"/>
          <w:bCs/>
          <w:sz w:val="32"/>
          <w:szCs w:val="32"/>
        </w:rPr>
      </w:pPr>
      <w:r>
        <w:rPr>
          <w:rFonts w:hint="eastAsia" w:ascii="Times New Roman" w:hAnsi="Times New Roman" w:eastAsia="黑体" w:cs="Times New Roman"/>
          <w:bCs/>
          <w:sz w:val="32"/>
          <w:szCs w:val="32"/>
          <w:lang w:val="en-US" w:eastAsia="zh-CN"/>
        </w:rPr>
        <w:t>全市工程造价咨询</w:t>
      </w:r>
      <w:r>
        <w:rPr>
          <w:rFonts w:ascii="Times New Roman" w:hAnsi="Times New Roman" w:eastAsia="黑体" w:cs="Times New Roman"/>
          <w:bCs/>
          <w:sz w:val="32"/>
          <w:szCs w:val="32"/>
          <w:lang w:val="zh-CN"/>
        </w:rPr>
        <w:t>行业</w:t>
      </w:r>
      <w:r>
        <w:rPr>
          <w:rFonts w:ascii="Times New Roman" w:hAnsi="Times New Roman" w:eastAsia="黑体" w:cs="Times New Roman"/>
          <w:bCs/>
          <w:sz w:val="32"/>
          <w:szCs w:val="32"/>
        </w:rPr>
        <w:t>重点机构表</w:t>
      </w:r>
    </w:p>
    <w:tbl>
      <w:tblPr>
        <w:tblStyle w:val="20"/>
        <w:tblpPr w:leftFromText="180" w:rightFromText="180" w:vertAnchor="text" w:horzAnchor="page" w:tblpX="1434" w:tblpY="1203"/>
        <w:tblOverlap w:val="never"/>
        <w:tblW w:w="9029" w:type="dxa"/>
        <w:tblInd w:w="0" w:type="dxa"/>
        <w:tblLayout w:type="fixed"/>
        <w:tblCellMar>
          <w:top w:w="0" w:type="dxa"/>
          <w:left w:w="108" w:type="dxa"/>
          <w:bottom w:w="0" w:type="dxa"/>
          <w:right w:w="108" w:type="dxa"/>
        </w:tblCellMar>
      </w:tblPr>
      <w:tblGrid>
        <w:gridCol w:w="612"/>
        <w:gridCol w:w="1919"/>
        <w:gridCol w:w="1164"/>
        <w:gridCol w:w="5334"/>
      </w:tblGrid>
      <w:tr w14:paraId="06D8ECBE">
        <w:tblPrEx>
          <w:tblCellMar>
            <w:top w:w="0" w:type="dxa"/>
            <w:left w:w="108" w:type="dxa"/>
            <w:bottom w:w="0" w:type="dxa"/>
            <w:right w:w="108" w:type="dxa"/>
          </w:tblCellMar>
        </w:tblPrEx>
        <w:trPr>
          <w:trHeight w:val="340" w:hRule="atLeast"/>
          <w:tblHeader/>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4E516D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sz w:val="21"/>
                <w:szCs w:val="21"/>
                <w:lang w:bidi="ar"/>
              </w:rPr>
            </w:pPr>
            <w:r>
              <w:rPr>
                <w:rFonts w:hint="eastAsia" w:ascii="宋体" w:hAnsi="宋体" w:eastAsia="宋体" w:cs="宋体"/>
                <w:b/>
                <w:bCs/>
                <w:sz w:val="21"/>
                <w:szCs w:val="21"/>
                <w:lang w:val="en-US" w:eastAsia="zh-CN" w:bidi="ar"/>
              </w:rPr>
              <w:t>序号</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EDFEE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sz w:val="21"/>
                <w:szCs w:val="21"/>
                <w:lang w:bidi="ar"/>
              </w:rPr>
            </w:pPr>
            <w:r>
              <w:rPr>
                <w:rFonts w:hint="eastAsia" w:ascii="宋体" w:hAnsi="宋体" w:eastAsia="宋体" w:cs="宋体"/>
                <w:b/>
                <w:bCs/>
                <w:sz w:val="21"/>
                <w:szCs w:val="21"/>
                <w:lang w:bidi="ar"/>
              </w:rPr>
              <w:t>企业名称</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D59EF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sz w:val="21"/>
                <w:szCs w:val="21"/>
                <w:lang w:bidi="ar"/>
              </w:rPr>
            </w:pPr>
            <w:r>
              <w:rPr>
                <w:rFonts w:hint="eastAsia" w:ascii="宋体" w:hAnsi="宋体" w:eastAsia="宋体" w:cs="宋体"/>
                <w:b/>
                <w:bCs/>
                <w:sz w:val="21"/>
                <w:szCs w:val="21"/>
                <w:lang w:bidi="ar"/>
              </w:rPr>
              <w:t>所属县区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FD6CA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b/>
                <w:bCs/>
                <w:sz w:val="21"/>
                <w:szCs w:val="21"/>
                <w:lang w:val="en-US" w:eastAsia="zh-CN" w:bidi="ar"/>
              </w:rPr>
            </w:pPr>
            <w:r>
              <w:rPr>
                <w:rFonts w:hint="eastAsia" w:ascii="宋体" w:hAnsi="宋体" w:eastAsia="宋体" w:cs="宋体"/>
                <w:b/>
                <w:bCs/>
                <w:sz w:val="21"/>
                <w:szCs w:val="21"/>
                <w:lang w:bidi="ar"/>
              </w:rPr>
              <w:t>企业主要产品</w:t>
            </w:r>
            <w:r>
              <w:rPr>
                <w:rFonts w:hint="eastAsia" w:ascii="宋体" w:hAnsi="宋体" w:eastAsia="宋体" w:cs="宋体"/>
                <w:b/>
                <w:bCs/>
                <w:sz w:val="21"/>
                <w:szCs w:val="21"/>
                <w:lang w:val="en-US" w:eastAsia="zh-CN" w:bidi="ar"/>
              </w:rPr>
              <w:t>或服务</w:t>
            </w:r>
          </w:p>
        </w:tc>
      </w:tr>
      <w:tr w14:paraId="26CEC601">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23FB6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37A060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安徽省招标集团股份有限公司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4EC51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0DBA0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color w:val="000000"/>
                <w:kern w:val="0"/>
                <w:sz w:val="21"/>
                <w:szCs w:val="21"/>
              </w:rPr>
              <w:t>一般项目:工程管理服务;招投标代理服务;采购代理服务;政府采购代理服务;工程造价咨询业务;信息系统集成服务;信息系统运行维护服务;信息技术咨询服务;信息咨询服务(不含许可类信息咨询服务);大数据服务;数据处理服务;软件开发;社会经济咨询服务;企业管理咨询;咨询策划服务;资产评估;以自有资金从事投资活动;财政资金项目预算绩效评价服务;市场调查(不含涉外调查);社会调查(不含涉外调查);业务培训(不含教育培训、职业技能培训等需取得许可的培训);会议及展览服务(除许可业务外，可自主依法经营法律法规非禁止或限制的项目)许可项目:建设工程监理;公路工程监理:建设工程设计(依法须经批准的项目，经相关部门批准后方可开展经营活动，具体经营项目以相关部门批准文件或许可证件为准)</w:t>
            </w:r>
          </w:p>
        </w:tc>
      </w:tr>
      <w:tr w14:paraId="0DBA3C37">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344D10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2</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1A26A7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安徽省交通规划设计研究总院股份有限公司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37559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i w:val="0"/>
                <w:iCs w:val="0"/>
                <w:caps w:val="0"/>
                <w:color w:val="333333"/>
                <w:spacing w:val="0"/>
                <w:sz w:val="21"/>
                <w:szCs w:val="21"/>
                <w:shd w:val="clear" w:fill="FFFFFF"/>
              </w:rPr>
              <w:t>高新区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14195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i w:val="0"/>
                <w:iCs w:val="0"/>
                <w:caps w:val="0"/>
                <w:color w:val="333333"/>
                <w:spacing w:val="0"/>
                <w:sz w:val="21"/>
                <w:szCs w:val="21"/>
                <w:shd w:val="clear" w:fill="FFFFFF"/>
              </w:rPr>
              <w:t>包括：交通与城乡基础设施（道路、桥梁、隧道、港口、航道、轨道、交通工程、岩土、风景园林、给排水、建筑、结构等）、资源与生态及环境（保护、修复、防灾、治理与开发利用等）以及智能与信息化系统等工程的投资、规划、咨询、项目管理、勘察、设计、监理、检测、建造、运维、技术、装备和建筑材料开发与中介、总承包及对外承包工程等。</w:t>
            </w:r>
          </w:p>
        </w:tc>
      </w:tr>
      <w:tr w14:paraId="009D7E70">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D6F8E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3</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EF177F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中国建设银行股份有限公司安徽省分行</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E32FCA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1E4A49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color w:val="000000"/>
                <w:kern w:val="0"/>
                <w:sz w:val="21"/>
                <w:szCs w:val="21"/>
              </w:rPr>
              <w:t>吸收公众存款;发放短期中期和长期贷款;办理国内外结算;办理票据贴现;发行金融债券;代理发行、代理兑付、承销政府债券;买卖政府债券;从事同业拆借;买卖、代理买卖外汇;提供信用证服务及担保;代理收付款项及代理保险业务;提供保管箱业务;经中国银行业监督管理委员会批准委托代理业务及其他业务。</w:t>
            </w:r>
          </w:p>
        </w:tc>
      </w:tr>
      <w:tr w14:paraId="39C97742">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5A300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4</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CE626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容诚工程咨询有限公司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FD8CE9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庐阳区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E049E61">
            <w:pPr>
              <w:keepNext w:val="0"/>
              <w:keepLines w:val="0"/>
              <w:suppressLineNumbers w:val="0"/>
              <w:autoSpaceDE w:val="0"/>
              <w:snapToGrid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sz w:val="21"/>
                <w:szCs w:val="21"/>
              </w:rPr>
              <w:t>许可项目:建设工程设计;建设工程监理;司法鉴定服务(依法须经批准的项目，经相关部门批准后方可开展经营活动，具体经营项目以相关部门批准文件或许可证件为准)</w:t>
            </w:r>
          </w:p>
          <w:p w14:paraId="0022A9D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造价咨询业务;招投标代理服务;采购代理服务;工程管理服务;工程技术服务(规划管理、勘察、设计、监理除外);规划设计管理;专业设计服务:咨询策划服务:企业管理咨询;破产清算服务;信息咨询服务(不含许可类信息咨询服务);房地产咨询;财政资金项目预算绩效评价服务(除许可业务外，可自主依法经营法律法规非禁止或限制的项目)</w:t>
            </w:r>
          </w:p>
        </w:tc>
      </w:tr>
      <w:tr w14:paraId="7F5A3BD8">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B7AF6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5</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F0F91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highlight w:val="none"/>
                <w:lang w:bidi="ar"/>
              </w:rPr>
            </w:pPr>
            <w:r>
              <w:rPr>
                <w:rFonts w:hint="eastAsia" w:ascii="宋体" w:hAnsi="宋体" w:eastAsia="宋体" w:cs="宋体"/>
                <w:i w:val="0"/>
                <w:iCs w:val="0"/>
                <w:color w:val="000000"/>
                <w:kern w:val="0"/>
                <w:sz w:val="21"/>
                <w:szCs w:val="21"/>
                <w:highlight w:val="none"/>
                <w:u w:val="none"/>
                <w:lang w:val="en-US" w:eastAsia="zh-CN" w:bidi="ar"/>
              </w:rPr>
              <w:t>安徽公共资源交易集团项目管理有限公司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009FF4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i w:val="0"/>
                <w:iCs w:val="0"/>
                <w:caps w:val="0"/>
                <w:color w:val="333333"/>
                <w:spacing w:val="0"/>
                <w:sz w:val="21"/>
                <w:szCs w:val="21"/>
                <w:shd w:val="clear" w:fill="FFFFFF"/>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F893C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i w:val="0"/>
                <w:iCs w:val="0"/>
                <w:caps w:val="0"/>
                <w:color w:val="333333"/>
                <w:spacing w:val="0"/>
                <w:sz w:val="21"/>
                <w:szCs w:val="21"/>
                <w:shd w:val="clear" w:fill="FFFFFF"/>
              </w:rPr>
              <w:t>一般项目：采购代理服务；招投标代理服务；政府采购代理服务；工程造价咨询业务；工程管理服务；技术进出口；进出口代理；企业管理咨询；社会经济咨询服务；信息技术咨询服务（除许可业务外，可自主依法经营法律法规非禁止或限制的项目）</w:t>
            </w:r>
          </w:p>
        </w:tc>
      </w:tr>
      <w:tr w14:paraId="05435756">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B165B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6</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B8EB46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安徽金泉工程管理咨询有限公司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AB6830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5004F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工程管理咨询；建设项目的可行性研究、投资估算的编制、经济评估；建设项目概算、预算、工程结算、竣工决算的编制和审核；招投标代理；政府采购项目代理；BIM技术咨询、工程监理、项目管理；互联网专业技术服务、技术咨询。（依法须经批准的项目，经相关部门批准后方可开展经营活动）</w:t>
            </w:r>
          </w:p>
        </w:tc>
      </w:tr>
      <w:tr w14:paraId="4B30156C">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7EDB37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7</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96A938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鼎信数智技术集团股份有限公司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EA2221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经开区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E1AD8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color w:val="000000"/>
                <w:kern w:val="0"/>
                <w:sz w:val="21"/>
                <w:szCs w:val="21"/>
              </w:rPr>
              <w:t>一般项目:工程管理服务;招投标代理服务;采购代理服务;政府采购代理服务;工程造价咨询业务;信息系统集成服务;信息系统运行维护服务;信息技术咨询服务;信息咨询服务(不含许可类信息咨询服务);大数据服务;数据处理服务;软件开发;社会经济咨询服务;企业管理咨询;咨询策划服务;资产评估;以自有资金从事投资活动;财政资金项目预算绩效评价服务;市场调查(不含涉外调查);社会调查(不含涉外调查);业务培训(不含教育培训、职业技能培训等需取得许可的培训);会议及展览服务(除许可业务外，可自主依法经营法律法规非禁止或限制的项目)许可项目:建设工程监理;公路工程监理:建设工程设计(依法须经批准的项目，经相关部门批准后方可开展经营活动，具体经营项目以相关部门批准文件或许可证件为准)</w:t>
            </w:r>
          </w:p>
        </w:tc>
      </w:tr>
      <w:tr w14:paraId="04FAE001">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EECA0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8</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3E29A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安徽晟元工程咨询有限公司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1A4193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庐阳区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81078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经营项目：建设项目建议书及可行性研究投资估算、项目经济评价报告的编制和审核；建设项目概预算的编制与审核；工程造价分析与控制；建设项目合同价款的确定、工程支付、工程结算及竣工结（决）算报告的编制与审核；工程造价经济纠纷的鉴定和仲裁的咨询；提供工程造价信息服务（以上经营范围涉及行政许可的凭许可证经营）。</w:t>
            </w:r>
          </w:p>
        </w:tc>
      </w:tr>
      <w:tr w14:paraId="19DFDF8F">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22539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9</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39575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安徽安建工程造价有限责任公司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50EB1A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456CC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rPr>
              <w:t>工程造价咨询，建设工程招投标代理，项目投资策划、管理、咨询服务。</w:t>
            </w:r>
          </w:p>
        </w:tc>
      </w:tr>
      <w:tr w14:paraId="73B8EEF7">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B6433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10</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714444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eastAsia="zh-CN" w:bidi="ar"/>
              </w:rPr>
            </w:pPr>
            <w:r>
              <w:rPr>
                <w:rFonts w:hint="eastAsia" w:ascii="宋体" w:hAnsi="宋体" w:eastAsia="宋体" w:cs="宋体"/>
                <w:i w:val="0"/>
                <w:iCs w:val="0"/>
                <w:color w:val="000000"/>
                <w:kern w:val="0"/>
                <w:sz w:val="21"/>
                <w:szCs w:val="21"/>
                <w:u w:val="none"/>
                <w:lang w:val="en-US" w:eastAsia="zh-CN" w:bidi="ar"/>
              </w:rPr>
              <w:t>安徽安天利信工程管理股份有限公司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7CC51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07351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管理服务；招投标代理服务；工程造价咨询业务；融资咨询服务；大数据服务；信息系统集成服务；软件开发；专业设计服务；规划设计管理；人防工程设计（除许可业务外，可自主依法经营法律法规非禁止或限制的项目）许可项目：第二类增值电信业务；建设工程设计；国土空间规划编制；建设工程监理（依法须经批准的项目，经相关部门批准后方可开展经营活动）</w:t>
            </w:r>
          </w:p>
        </w:tc>
      </w:tr>
      <w:tr w14:paraId="51BADAF0">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EA29F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11</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FE9DF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安徽中信工程咨询有限责任公司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B275E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BF35E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工程造价咨询；项目管理及咨询；招标代理；政府采购代理；项目建议书、项目可行性报告编制；工程造价司法鉴定咨询。（依法须经批准的项目，经相关部门批准后方可开展经营活动）</w:t>
            </w:r>
          </w:p>
        </w:tc>
      </w:tr>
      <w:tr w14:paraId="1AAF111D">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743AD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12</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46F80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eastAsia="zh-CN" w:bidi="ar"/>
              </w:rPr>
            </w:pPr>
            <w:r>
              <w:rPr>
                <w:rFonts w:hint="eastAsia" w:ascii="宋体" w:hAnsi="宋体" w:eastAsia="宋体" w:cs="宋体"/>
                <w:i w:val="0"/>
                <w:iCs w:val="0"/>
                <w:color w:val="000000"/>
                <w:kern w:val="0"/>
                <w:sz w:val="21"/>
                <w:szCs w:val="21"/>
                <w:u w:val="none"/>
                <w:lang w:val="en-US" w:eastAsia="zh-CN" w:bidi="ar"/>
              </w:rPr>
              <w:t>国华工程科技（集团）有限责任公司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14D95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E9CF710">
            <w:pPr>
              <w:keepNext w:val="0"/>
              <w:keepLines w:val="0"/>
              <w:suppressLineNumbers w:val="0"/>
              <w:autoSpaceDE w:val="0"/>
              <w:snapToGrid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sz w:val="21"/>
                <w:szCs w:val="21"/>
              </w:rPr>
              <w:t>一般项目：技术服务、技术开发、技术咨询、技术交流、技术转让、技术推广；工程管理服务；工程造价咨询业务；采购代理服务；招投标代理服务；信息技术咨询服务；规划设计管理；土地调查评估服务（除许可业务外，可自主依法经营法律法规非禁止或限制的项目）</w:t>
            </w:r>
          </w:p>
          <w:p w14:paraId="1E1F994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许可项目：司法鉴定服务；测绘服务；建设工程监理；国土空间规划编制；建设工程施工；文物保护工程勘察；文物保护工程设计；建设工程设计；房地产开发经营；建筑劳务分包（依法须经批准的项目，经相关部门批准后方可开展经营活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具体经营项目以相关部门批准文件或许可证件为准</w:t>
            </w:r>
            <w:r>
              <w:rPr>
                <w:rFonts w:hint="eastAsia" w:ascii="宋体" w:hAnsi="宋体" w:eastAsia="宋体" w:cs="宋体"/>
                <w:sz w:val="21"/>
                <w:szCs w:val="21"/>
              </w:rPr>
              <w:t>）</w:t>
            </w:r>
          </w:p>
        </w:tc>
      </w:tr>
      <w:tr w14:paraId="520AA772">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31351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13</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F04721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eastAsia="zh-CN" w:bidi="ar"/>
              </w:rPr>
            </w:pPr>
            <w:r>
              <w:rPr>
                <w:rFonts w:hint="eastAsia" w:ascii="宋体" w:hAnsi="宋体" w:eastAsia="宋体" w:cs="宋体"/>
                <w:i w:val="0"/>
                <w:iCs w:val="0"/>
                <w:color w:val="000000"/>
                <w:kern w:val="0"/>
                <w:sz w:val="21"/>
                <w:szCs w:val="21"/>
                <w:u w:val="none"/>
                <w:lang w:val="en-US" w:eastAsia="zh-CN" w:bidi="ar"/>
              </w:rPr>
              <w:t>安徽瑞邦工程造价有限公司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DC91A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916321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lang w:eastAsia="zh-CN"/>
              </w:rPr>
              <w:t>工程造价咨询业务、工程技术服务（规划管理、勘察、设计、监理除外）、工程管理服务、招投标代理服务、政府采购代理服务、采购代理服务、单建式人防工程监理、财政资金项目预算绩效评价服务（除许可业务外，可自主依法经营法律法规非禁止或限制的项目）；许可项目：建设工程监理、公路工程监理、水利工程建设监理、水运工程监理（依法须经批准的项目，经相关部门批准后方可开展经营活动，具体经营项目以相关部门批准文件或许可证件为准）。</w:t>
            </w:r>
          </w:p>
        </w:tc>
      </w:tr>
      <w:tr w14:paraId="624A4D5F">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503F73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14</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016199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eastAsia="zh-CN" w:bidi="ar"/>
              </w:rPr>
            </w:pPr>
            <w:r>
              <w:rPr>
                <w:rFonts w:hint="eastAsia" w:ascii="宋体" w:hAnsi="宋体" w:eastAsia="宋体" w:cs="宋体"/>
                <w:i w:val="0"/>
                <w:iCs w:val="0"/>
                <w:color w:val="000000"/>
                <w:kern w:val="0"/>
                <w:sz w:val="21"/>
                <w:szCs w:val="21"/>
                <w:u w:val="none"/>
                <w:lang w:val="en-US" w:eastAsia="zh-CN" w:bidi="ar"/>
              </w:rPr>
              <w:t>中国能源建设集团安徽省电力设计院有限公司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1EF6D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经开区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A6395A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电力系统规划、设计；电力工程的设计、咨询、监理、工程总承包，工程勘察综合类（岩土工程、水文地质勘察、工程测量），建筑工程设计，建筑装饰设计，消防设施设计，环境工程（废气）设计；环境影响综合评价，废水、噪声、电子系统、专用通信网、油气库、热力、给水、排水、环境卫生、围垦等工程设计，工程测绘；项目管理；物资采购与销售；房屋租赁；承包境外电力工程及境内国际招标工程，承包上述境外工程的勘测、咨询、设计和监理项目，上述境外工程所需的设备、材料出口，对外派遣实施上述境外工程所需的劳务人员；售电业务；电力输配；电力集成设施建设、运营及改造；软件技术开发、服务、转让、中介、咨询与产业化；项目投资、开发、建设、经营及管理。（以上经营范围凭资质证书在核定范围及有效期内经营）。（依法须经批准的项目，经相关部门批准后方可开展经营活动）</w:t>
            </w:r>
          </w:p>
        </w:tc>
      </w:tr>
      <w:tr w14:paraId="18CB4A6C">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8575A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bidi="ar"/>
              </w:rPr>
              <w:t>15</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1A516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安徽九通工程项目管理有限公司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F3393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39B5C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般项目:工程造价咨询业务；工程管理服务；技术服务、技术开发、技术咨询、技术交流、技术转让、技术推广；工程技术服务（规划管理、勘查、设计、监理除外）；招投标代理服务；政府采购代理服务；信息咨询服务（不含许可类信息咨询服务）；企业管理咨询（除许可业务外，可自主依法经营法律法规非禁止或限制的项目）</w:t>
            </w:r>
          </w:p>
          <w:p w14:paraId="66741D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color w:val="auto"/>
                <w:kern w:val="0"/>
                <w:sz w:val="21"/>
                <w:szCs w:val="21"/>
                <w:highlight w:val="none"/>
                <w:lang w:val="en-US" w:eastAsia="zh-CN"/>
              </w:rPr>
              <w:t>许可项目：建设工程监理；司法鉴定服务（依法须经批准的项目，经相关部门批准后方可开展经营活动，具体经营项目以相关部门批准文件或许可证件为准）</w:t>
            </w:r>
          </w:p>
        </w:tc>
      </w:tr>
      <w:tr w14:paraId="358176A8">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131656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16</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E7CB8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安徽宝申工程项目管理咨询有限公司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B2CC7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ACE0540">
            <w:pPr>
              <w:keepNext w:val="0"/>
              <w:keepLines w:val="0"/>
              <w:suppressLineNumbers w:val="0"/>
              <w:autoSpaceDE w:val="0"/>
              <w:snapToGrid w:val="0"/>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sz w:val="21"/>
                <w:szCs w:val="21"/>
              </w:rPr>
              <w:t>许可项目：司法鉴定服务；建设工程监理（依法须经批准的项目，经相关部门批准后方可开展经营活动，具体经营项目以相关部门批准文件或许可证件为准）</w:t>
            </w:r>
          </w:p>
          <w:p w14:paraId="2AA4E6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造价咨询业务；工程管理服务；招投标代理服务；采购代理服务；政府采购代理服务；信息技术咨询服务；工程技术服务（规划管理、勘察、设计、监理除外）；社会稳定风险评估；技术服务、技术开发、技术咨询、技术交流、技术转让、技术推广（除许可业务外，可自主依法经营法律法规非禁止或限制的项目）</w:t>
            </w:r>
          </w:p>
        </w:tc>
      </w:tr>
      <w:tr w14:paraId="109BDB79">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5303E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17</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A4BA1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恒泰工程咨询集团有限公司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E809B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瑶海区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5371A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管理服务；工程造价咨询业务；专业设计服务；招投标代理服务；工业工程设计服务；政府采购代理服务；社会稳定风险评估（除许可业务外，可自主依法经营法律法规非禁止或限制的项目）许可项目：建设工程设计；人防工程设计；建设工程监理；住宅室内装饰装修（依法须经批准的项目，经相关部门批准后方可开展经营活动，具体经营项目以相关部门批准文件或许可证件为准）</w:t>
            </w:r>
          </w:p>
        </w:tc>
      </w:tr>
      <w:tr w14:paraId="3299161A">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97603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18</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75F85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安徽远帆项目管理咨询有限公司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DC9965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高新区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8FCEF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建设工程项目管理咨询；工程咨询；工程造价咨询；工程造价经济案件鉴定和仲裁的咨询；招标代理；建筑信息模型技术咨询；工程监理；建筑工程设计；建筑装饰装修工程设计；建筑幕墙工程设计；建筑项目全过程工程咨询。（依法须经批准的项目，经相关部门批准后方可开展经营活动）</w:t>
            </w:r>
          </w:p>
        </w:tc>
      </w:tr>
      <w:tr w14:paraId="3BBEE84E">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91B22D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19</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A606F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安徽金瑞安工程科技有限公司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6C34F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瑶海区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2DBE3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Style w:val="24"/>
                <w:rFonts w:hint="eastAsia" w:ascii="宋体" w:hAnsi="宋体" w:eastAsia="宋体" w:cs="宋体"/>
                <w:color w:val="000000"/>
                <w:sz w:val="21"/>
                <w:szCs w:val="21"/>
                <w:u w:val="none"/>
              </w:rPr>
            </w:pPr>
            <w:r>
              <w:rPr>
                <w:rStyle w:val="24"/>
                <w:rFonts w:hint="eastAsia" w:ascii="宋体" w:hAnsi="宋体" w:eastAsia="宋体" w:cs="宋体"/>
                <w:color w:val="000000"/>
                <w:sz w:val="21"/>
                <w:szCs w:val="21"/>
                <w:u w:val="none"/>
              </w:rPr>
              <w:t>许可项目：工程造价咨询业务:单建式人防工程监理:建设工程监理；建设工程施工(除核电站建设经营、民用机场建设》；住宅室内装饰装修；建设工程设计</w:t>
            </w:r>
            <w:r>
              <w:rPr>
                <w:rStyle w:val="24"/>
                <w:rFonts w:hint="eastAsia" w:ascii="宋体" w:hAnsi="宋体" w:eastAsia="宋体" w:cs="宋体"/>
                <w:color w:val="000000"/>
                <w:sz w:val="21"/>
                <w:szCs w:val="21"/>
                <w:u w:val="none"/>
                <w:lang w:eastAsia="zh-CN"/>
              </w:rPr>
              <w:t>；</w:t>
            </w:r>
            <w:r>
              <w:rPr>
                <w:rStyle w:val="24"/>
                <w:rFonts w:hint="eastAsia" w:ascii="宋体" w:hAnsi="宋体" w:eastAsia="宋体" w:cs="宋体"/>
                <w:color w:val="000000"/>
                <w:sz w:val="21"/>
                <w:szCs w:val="21"/>
                <w:u w:val="none"/>
              </w:rPr>
              <w:t>建筑劳务分包；施工专业作业（依法须经批准的项目，经相关部门批准后方可开展经营活动,具体经营项目以相关部门批准文件或许可证件为准)一般项目：招投标代理服务；政府采购代理服务；采购代理服务；资产评估；工程管理服务；项目策划与公关服务；节能管理服务；非居住房地产租质；工程技术服务《规划管理、勘察、设计、监理除外)；对外承包工程；新兴能源技术研发；森林固碳服务；合同能源管理；工程和技术研究和试验发展；碳减排、碳转化、碳捕捉、碳封存技术研发；环保咨询服务；环境保护监测；水环境污染防治服务；大气环境污染防治服务；水污染治理；土壤污染治理与修复服务；土壤环境污集防治服务；农业面源和重金属污染防治技术服务；光污染治理服务；噪声与振动控制服务；固体废物治理；生态资源监测；生态恢复及生态保护服务；技术服务、技术开发、技术咨询、技术交流、技术转让、技术推广；规划设计管理；大数据服务《除许可业务外</w:t>
            </w:r>
            <w:r>
              <w:rPr>
                <w:rStyle w:val="24"/>
                <w:rFonts w:hint="eastAsia" w:ascii="宋体" w:hAnsi="宋体" w:eastAsia="宋体" w:cs="宋体"/>
                <w:color w:val="000000"/>
                <w:sz w:val="21"/>
                <w:szCs w:val="21"/>
                <w:u w:val="none"/>
                <w:lang w:eastAsia="zh-CN"/>
              </w:rPr>
              <w:t>，</w:t>
            </w:r>
            <w:r>
              <w:rPr>
                <w:rStyle w:val="24"/>
                <w:rFonts w:hint="eastAsia" w:ascii="宋体" w:hAnsi="宋体" w:eastAsia="宋体" w:cs="宋体"/>
                <w:color w:val="000000"/>
                <w:sz w:val="21"/>
                <w:szCs w:val="21"/>
                <w:u w:val="none"/>
              </w:rPr>
              <w:t>可自主依法经营法律法规非禁止或限制的项目)</w:t>
            </w:r>
          </w:p>
          <w:p w14:paraId="3D3ECD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p>
        </w:tc>
      </w:tr>
      <w:tr w14:paraId="2490A162">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15F0C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20</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06E68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安徽弘泰建设管理有限公司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8413B9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E3622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工程造价咨询；工程造价鉴定；工程项目管理；工程招投标代理；建设工程监理；工程设计；工程施工；工程技术咨询；合同能源管理；物业管理；建筑装饰装修工程设计与施工。（依法须经批准的项目，经相关部门批准后方可开展经营活动）</w:t>
            </w:r>
          </w:p>
        </w:tc>
      </w:tr>
      <w:tr w14:paraId="12671BD0">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E88DA0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21</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D94B5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盛唐工程咨询集团有限公司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FE2D5E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E418B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管理服务；工程造价咨询业务；招投标代理服务；房地产咨询；物业服务评估；工程技术服务（规划管理、勘察、设计、监理除外）；项目策划与公关服务；政府采购代理服务；社会稳定风险评估（除许可业务外，可自主依法经营法律法规非禁止或限制的项目）许可项目：建设工程施工；建设工程设计；建设工程监理；公路工程监理；水运工程监理；水利工程建设监理；单建式人防工程监理；司法鉴定服务（依法须经批准的项目，经相关部门批准后方可开展经营活动，具体经营项目以相关部门批准文件或许可证件为准）</w:t>
            </w:r>
          </w:p>
        </w:tc>
      </w:tr>
      <w:tr w14:paraId="0D315DF8">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C49B0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22</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DFE544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合普项目管理咨询集团有限公司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24FA3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32AA3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招投标代理服务；政府采购代理服务；工程造价咨询业务；工程管理服务；信息技术咨询服务；企业管理咨询；财务咨询；法律咨询（不包括律师事务所业务）；社会稳定风险评估；房地产评估；规划设计管理；新材料技术推广服务；业务培训（不含教育培训、职业技能培训等需取得许可的培训）（除许可业务外，可自主依法经营法律法规非禁止或限制的项目）许可项目：司法鉴定服务；建设工程监理；水利工程建设监理；建设工程施工（依法须经批准的项目，经相关部门批准后方可开展经营活动，具体经营项目以相关部门批准文件或许可证件为准）</w:t>
            </w:r>
          </w:p>
        </w:tc>
      </w:tr>
      <w:tr w14:paraId="664A6720">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F98B6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23</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50B93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安徽凯奇建设项目管理有限公司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FD2C0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B7FBD6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工程项目管理:建设工程监理;建设工程咨询;建设工程造价咨询:工程招标代理;政府采购招标代理:建设工程质量检测(涉及许可经营或资质证经营凭许可证或资质证经营)。(依法须经批准的项目，经相关部门批准后方可开展经营活动)</w:t>
            </w:r>
          </w:p>
        </w:tc>
      </w:tr>
      <w:tr w14:paraId="55AF5053">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D4933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24</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54260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安徽建清工程咨询有限公司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09723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经开区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FEF315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一般项目：工程造价咨询业务；工程管理服务；政府采购代理服务；招投标代理服务（除许可业务外，可自主依法经营法律法规非禁止或限制的项目）</w:t>
            </w:r>
          </w:p>
        </w:tc>
      </w:tr>
      <w:tr w14:paraId="66AA9821">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1D60D43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25</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FDDC0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安徽中一建设工程技术咨询有限公司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AD5F6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11759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建筑工程技术咨询服务；工程项目管理；工程招标代理；政府采购代理；中央投资项目招标代理；国际招标代理；工程监理；工程造价咨询；司法鉴定；建筑BIM信息技术咨询；可研、估算、概算与工程咨询有关的其他业务；教育咨询服务。（依法须经批准的项目，经相关部门批准后方可开展经营活动）</w:t>
            </w:r>
          </w:p>
        </w:tc>
      </w:tr>
      <w:tr w14:paraId="58B5DF09">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10668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26</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0E2848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安徽忠实工程造价有限公司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94DD3B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肥东县</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87D36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造价咨询业务；工程管理服务；工程技术服务（规划管理、勘察、设计、监理除外）；政府采购代理服务；招投标代理服务；采购代理服务；房地产评估；资产评估；技术服务、技术开发、技术咨询、技术交流、技术转让、技术推广；信息技术咨询服务；工程和技术研究和试验发展；信息系统集成服务；软件开发；互联网数据服务；大数据服务；数据处理服务；业务培训（不含教育培训、职业技能培训等需取得许可的培训）（除许可业务外，可自主依法经营法律法规非禁止或限制的项目）</w:t>
            </w:r>
          </w:p>
        </w:tc>
      </w:tr>
      <w:tr w14:paraId="0EF45E7C">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8AFC9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27</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D9316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安徽安瑞工程咨询有限责任公司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26744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庐阳区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9D75B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工程造价咨询、工程监理咨询、招投标代理、投资咨询及信息咨询；建设项目可行性研究，工程造价审核咨询，投资估算编制及经济评价</w:t>
            </w:r>
          </w:p>
        </w:tc>
      </w:tr>
      <w:tr w14:paraId="2A57CB38">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90381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28</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02161A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安徽双泽工程造价咨询有限公司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E7C0B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高新区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31669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管理服务；工程造价咨询业务；工程技术服务（规划管理、勘察、设计、监理除外）；政府采购代理服务；招投标代理服务；采购代理服务；房地产评估；资产评估；技术服务、技术开发、技术咨询、技术交流、技术转让、技术推广；信息咨询服务（不含许可类信息咨询服务）；信息技术咨询服务；新材料技术研发；工程和技术研究和试验发展；信息系统集成服务；软件开发；互联网数据服务；大数据服务；数据处理服务；业务培训（不含教育培训、职业技能培训等需取得许可的培训）；劳务服务（不含劳务派遣）（除许可业务外，可自主依法经营法律法规非禁止或限制的项目）</w:t>
            </w:r>
          </w:p>
        </w:tc>
      </w:tr>
      <w:tr w14:paraId="3C6CDB90">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38D57C2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lang w:val="en-US" w:eastAsia="zh-CN" w:bidi="ar"/>
              </w:rPr>
              <w:t>29</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508B005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安徽中润国元工程项目管理有限公司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05E4B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bidi="ar"/>
              </w:rPr>
            </w:pPr>
            <w:r>
              <w:rPr>
                <w:rFonts w:hint="eastAsia" w:ascii="宋体" w:hAnsi="宋体" w:eastAsia="宋体" w:cs="宋体"/>
                <w:sz w:val="21"/>
                <w:szCs w:val="21"/>
              </w:rPr>
              <w:t>蜀山区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6F7E82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建筑工程造价咨询、预决算编制、审核、信息咨询、中介服务；商务咨询；房地产中介服务；财务咨询；投资可行性研究报告编制及项目的技术咨询服务，工程设计、工程监理、招投标代理、工程咨询、物业管理、政府采购代理、工程项目管理（以上范围涉及行政许可和资质的凭许可证和资质证在核定范围内经营）</w:t>
            </w:r>
          </w:p>
        </w:tc>
      </w:tr>
      <w:tr w14:paraId="7055F027">
        <w:tblPrEx>
          <w:tblCellMar>
            <w:top w:w="0" w:type="dxa"/>
            <w:left w:w="108" w:type="dxa"/>
            <w:bottom w:w="0" w:type="dxa"/>
            <w:right w:w="108" w:type="dxa"/>
          </w:tblCellMar>
        </w:tblPrEx>
        <w:trPr>
          <w:trHeight w:val="340" w:hRule="atLeast"/>
        </w:trPr>
        <w:tc>
          <w:tcPr>
            <w:tcW w:w="612"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B81B1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30</w:t>
            </w:r>
          </w:p>
        </w:tc>
        <w:tc>
          <w:tcPr>
            <w:tcW w:w="1919"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2C6622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1"/>
                <w:szCs w:val="21"/>
                <w:lang w:bidi="ar"/>
              </w:rPr>
            </w:pPr>
            <w:r>
              <w:rPr>
                <w:rFonts w:hint="eastAsia" w:ascii="宋体" w:hAnsi="宋体" w:eastAsia="宋体" w:cs="宋体"/>
                <w:i w:val="0"/>
                <w:iCs w:val="0"/>
                <w:color w:val="000000"/>
                <w:kern w:val="0"/>
                <w:sz w:val="21"/>
                <w:szCs w:val="21"/>
                <w:u w:val="none"/>
                <w:lang w:val="en-US" w:eastAsia="zh-CN" w:bidi="ar"/>
              </w:rPr>
              <w:t>安徽凯吉通工程咨询有限公司</w:t>
            </w:r>
          </w:p>
        </w:tc>
        <w:tc>
          <w:tcPr>
            <w:tcW w:w="116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44E2AC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bidi="ar"/>
              </w:rPr>
            </w:pPr>
            <w:r>
              <w:rPr>
                <w:rFonts w:hint="eastAsia" w:ascii="宋体" w:hAnsi="宋体" w:eastAsia="宋体" w:cs="宋体"/>
                <w:sz w:val="21"/>
                <w:szCs w:val="21"/>
                <w:lang w:val="en-US" w:eastAsia="zh-CN" w:bidi="ar"/>
              </w:rPr>
              <w:t>包河区</w:t>
            </w:r>
          </w:p>
        </w:tc>
        <w:tc>
          <w:tcPr>
            <w:tcW w:w="5334" w:type="dxa"/>
            <w:tcBorders>
              <w:top w:val="single" w:color="000000" w:sz="4" w:space="0"/>
              <w:left w:val="single" w:color="000000" w:sz="4" w:space="0"/>
              <w:bottom w:val="single" w:color="000000" w:sz="4" w:space="0"/>
              <w:right w:val="single" w:color="000000" w:sz="4" w:space="0"/>
            </w:tcBorders>
            <w:tcMar>
              <w:top w:w="125" w:type="dxa"/>
              <w:left w:w="28" w:type="dxa"/>
              <w:bottom w:w="125" w:type="dxa"/>
              <w:right w:w="28" w:type="dxa"/>
            </w:tcMar>
            <w:vAlign w:val="center"/>
          </w:tcPr>
          <w:p w14:paraId="7140F4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sz w:val="21"/>
                <w:szCs w:val="21"/>
                <w:lang w:bidi="ar"/>
              </w:rPr>
            </w:pPr>
            <w:r>
              <w:rPr>
                <w:rFonts w:hint="eastAsia" w:ascii="宋体" w:hAnsi="宋体" w:eastAsia="宋体" w:cs="宋体"/>
                <w:sz w:val="21"/>
                <w:szCs w:val="21"/>
              </w:rPr>
              <w:t>一般项目:工程造价咨询业务;工程管理服务;工程技术服务(规划管理、勘察、设计、监理除外):资产评估:社会稳定风险评估:土地调查评估服务:招投标代理服务:政府采购代理服务:环保咨询服务;节能管理服务;会议及展览服务(除许可业务外，可自主依法经营法律法规非禁止或限制的项目)许可项目:地质灾害危险性评估:建设工程监理:公路工程监理;水利工程建设监理(依法须经批准的项目，经相关部门批准后方可开展经营活动，具体经营项目以相关部门批准文件或许可证件为准)</w:t>
            </w:r>
          </w:p>
        </w:tc>
      </w:tr>
    </w:tbl>
    <w:p w14:paraId="5981B0D4">
      <w:pPr>
        <w:keepNext/>
        <w:keepLines/>
        <w:spacing w:after="156" w:afterLines="50" w:line="480" w:lineRule="auto"/>
        <w:jc w:val="center"/>
        <w:outlineLvl w:val="2"/>
        <w:rPr>
          <w:rFonts w:hint="eastAsia" w:ascii="Times New Roman" w:hAnsi="Times New Roman" w:eastAsia="黑体" w:cs="Times New Roman"/>
          <w:bCs/>
          <w:sz w:val="44"/>
          <w:szCs w:val="44"/>
          <w:lang w:val="en-US" w:eastAsia="zh-CN"/>
        </w:rPr>
      </w:pPr>
    </w:p>
    <w:p w14:paraId="6AA62881">
      <w:pPr>
        <w:keepNext/>
        <w:keepLines/>
        <w:spacing w:after="156" w:afterLines="50" w:line="480" w:lineRule="auto"/>
        <w:jc w:val="center"/>
        <w:outlineLvl w:val="2"/>
        <w:rPr>
          <w:rFonts w:hint="eastAsia" w:ascii="Times New Roman" w:hAnsi="Times New Roman" w:eastAsia="黑体" w:cs="Times New Roman"/>
          <w:bCs/>
          <w:sz w:val="44"/>
          <w:szCs w:val="44"/>
          <w:lang w:val="en-US" w:eastAsia="zh-CN"/>
        </w:rPr>
      </w:pPr>
    </w:p>
    <w:p w14:paraId="012235BF">
      <w:pPr>
        <w:keepNext/>
        <w:keepLines/>
        <w:spacing w:after="156" w:afterLines="50" w:line="480" w:lineRule="auto"/>
        <w:jc w:val="center"/>
        <w:outlineLvl w:val="2"/>
        <w:rPr>
          <w:rFonts w:ascii="Times New Roman" w:hAnsi="Times New Roman" w:eastAsia="黑体" w:cs="Times New Roman"/>
          <w:bCs/>
          <w:sz w:val="44"/>
          <w:szCs w:val="44"/>
          <w:lang w:val="zh-CN"/>
        </w:rPr>
      </w:pPr>
      <w:r>
        <w:rPr>
          <w:rFonts w:hint="eastAsia" w:ascii="Times New Roman" w:hAnsi="Times New Roman" w:eastAsia="黑体" w:cs="Times New Roman"/>
          <w:bCs/>
          <w:sz w:val="32"/>
          <w:szCs w:val="32"/>
          <w:lang w:val="en-US" w:eastAsia="zh-CN"/>
        </w:rPr>
        <w:t>工程造价咨询</w:t>
      </w:r>
      <w:r>
        <w:rPr>
          <w:rFonts w:ascii="Times New Roman" w:hAnsi="Times New Roman" w:eastAsia="黑体" w:cs="Times New Roman"/>
          <w:bCs/>
          <w:sz w:val="32"/>
          <w:szCs w:val="32"/>
          <w:lang w:val="zh-CN"/>
        </w:rPr>
        <w:t>行业招商平台表</w:t>
      </w:r>
    </w:p>
    <w:tbl>
      <w:tblPr>
        <w:tblStyle w:val="43"/>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7867"/>
      </w:tblGrid>
      <w:tr w14:paraId="4666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blHeader/>
          <w:jc w:val="center"/>
        </w:trPr>
        <w:tc>
          <w:tcPr>
            <w:tcW w:w="1253" w:type="dxa"/>
            <w:tcMar>
              <w:top w:w="85" w:type="dxa"/>
              <w:bottom w:w="85" w:type="dxa"/>
            </w:tcMar>
            <w:vAlign w:val="center"/>
          </w:tcPr>
          <w:p w14:paraId="23268614">
            <w:pPr>
              <w:keepNext w:val="0"/>
              <w:keepLines w:val="0"/>
              <w:suppressLineNumbers w:val="0"/>
              <w:spacing w:before="0" w:beforeAutospacing="0" w:after="0" w:afterAutospacing="0" w:line="300" w:lineRule="exact"/>
              <w:ind w:left="0" w:right="0"/>
              <w:jc w:val="center"/>
              <w:rPr>
                <w:rFonts w:hint="eastAsia" w:ascii="Times New Roman" w:hAnsi="Times New Roman" w:eastAsia="宋体" w:cs="Times New Roman"/>
                <w:b/>
                <w:bCs/>
                <w:kern w:val="0"/>
                <w:sz w:val="20"/>
                <w:szCs w:val="21"/>
                <w:lang w:val="zh-CN" w:bidi="zh-CN"/>
              </w:rPr>
            </w:pPr>
            <w:r>
              <w:rPr>
                <w:rFonts w:hint="eastAsia" w:ascii="Times New Roman" w:hAnsi="Times New Roman" w:eastAsia="宋体" w:cs="Times New Roman"/>
                <w:b/>
                <w:bCs/>
                <w:kern w:val="0"/>
                <w:sz w:val="20"/>
                <w:szCs w:val="21"/>
                <w:lang w:val="zh-CN" w:bidi="zh-CN"/>
              </w:rPr>
              <w:t>名称</w:t>
            </w:r>
          </w:p>
        </w:tc>
        <w:tc>
          <w:tcPr>
            <w:tcW w:w="7867" w:type="dxa"/>
            <w:tcMar>
              <w:top w:w="85" w:type="dxa"/>
              <w:bottom w:w="85" w:type="dxa"/>
            </w:tcMar>
            <w:vAlign w:val="center"/>
          </w:tcPr>
          <w:p w14:paraId="44E8D9DE">
            <w:pPr>
              <w:keepNext w:val="0"/>
              <w:keepLines w:val="0"/>
              <w:suppressLineNumbers w:val="0"/>
              <w:spacing w:before="0" w:beforeAutospacing="0" w:after="0" w:afterAutospacing="0" w:line="300" w:lineRule="exact"/>
              <w:ind w:left="0" w:right="0"/>
              <w:jc w:val="center"/>
              <w:rPr>
                <w:rFonts w:hint="eastAsia" w:ascii="Times New Roman" w:hAnsi="Times New Roman" w:eastAsia="宋体" w:cs="Times New Roman"/>
                <w:b/>
                <w:bCs/>
                <w:kern w:val="0"/>
                <w:sz w:val="20"/>
                <w:szCs w:val="21"/>
                <w:lang w:val="zh-CN" w:bidi="zh-CN"/>
              </w:rPr>
            </w:pPr>
            <w:r>
              <w:rPr>
                <w:rFonts w:hint="eastAsia" w:ascii="Times New Roman" w:hAnsi="Times New Roman" w:eastAsia="宋体" w:cs="Times New Roman"/>
                <w:b/>
                <w:bCs/>
                <w:kern w:val="0"/>
                <w:sz w:val="20"/>
                <w:szCs w:val="21"/>
                <w:lang w:val="zh-CN" w:bidi="zh-CN"/>
              </w:rPr>
              <w:t>简    介</w:t>
            </w:r>
          </w:p>
        </w:tc>
      </w:tr>
      <w:tr w14:paraId="6394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1253" w:type="dxa"/>
            <w:tcMar>
              <w:top w:w="85" w:type="dxa"/>
              <w:bottom w:w="85" w:type="dxa"/>
            </w:tcMar>
            <w:vAlign w:val="center"/>
          </w:tcPr>
          <w:p w14:paraId="170EAF7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kern w:val="0"/>
                <w:sz w:val="20"/>
                <w:szCs w:val="21"/>
                <w:lang w:val="zh-CN" w:bidi="zh-CN"/>
              </w:rPr>
            </w:pPr>
            <w:r>
              <w:rPr>
                <w:rFonts w:hint="eastAsia" w:ascii="Times New Roman" w:hAnsi="Times New Roman" w:eastAsia="宋体"/>
                <w:kern w:val="0"/>
                <w:szCs w:val="21"/>
                <w:lang w:val="zh-CN" w:bidi="zh-CN"/>
              </w:rPr>
              <w:t>中国</w:t>
            </w:r>
            <w:r>
              <w:rPr>
                <w:rFonts w:hint="eastAsia" w:ascii="Times New Roman" w:hAnsi="Times New Roman" w:eastAsia="宋体"/>
                <w:kern w:val="0"/>
                <w:szCs w:val="21"/>
                <w:lang w:val="en-US" w:bidi="zh-CN"/>
              </w:rPr>
              <w:t>建设工程造价管理协会</w:t>
            </w:r>
          </w:p>
        </w:tc>
        <w:tc>
          <w:tcPr>
            <w:tcW w:w="7867" w:type="dxa"/>
            <w:tcMar>
              <w:top w:w="85" w:type="dxa"/>
              <w:bottom w:w="85" w:type="dxa"/>
            </w:tcMar>
            <w:vAlign w:val="center"/>
          </w:tcPr>
          <w:p w14:paraId="463D0D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right="0" w:firstLine="420"/>
              <w:jc w:val="left"/>
              <w:textAlignment w:val="auto"/>
              <w:rPr>
                <w:rFonts w:hint="eastAsia" w:ascii="Times New Roman" w:hAnsi="Times New Roman" w:eastAsia="宋体" w:cs="Times New Roman"/>
                <w:kern w:val="0"/>
                <w:sz w:val="18"/>
                <w:szCs w:val="18"/>
                <w:lang w:val="zh-CN" w:bidi="zh-CN"/>
              </w:rPr>
            </w:pPr>
            <w:r>
              <w:rPr>
                <w:rFonts w:hint="default" w:ascii="Helvetica" w:hAnsi="Helvetica" w:eastAsia="Helvetica" w:cs="Helvetica"/>
                <w:i w:val="0"/>
                <w:iCs w:val="0"/>
                <w:caps w:val="0"/>
                <w:color w:val="333333"/>
                <w:spacing w:val="0"/>
                <w:kern w:val="0"/>
                <w:sz w:val="18"/>
                <w:szCs w:val="18"/>
                <w:shd w:val="clear" w:fill="FFFFFF"/>
                <w:lang w:val="en-US" w:eastAsia="zh-CN" w:bidi="ar"/>
              </w:rPr>
              <w:t>中国建设工程造价管理协会是经</w: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begin"/>
            </w:r>
            <w:r>
              <w:rPr>
                <w:rFonts w:hint="default" w:ascii="Helvetica" w:hAnsi="Helvetica" w:eastAsia="Helvetica" w:cs="Helvetica"/>
                <w:i w:val="0"/>
                <w:iCs w:val="0"/>
                <w:caps w:val="0"/>
                <w:color w:val="333333"/>
                <w:spacing w:val="0"/>
                <w:kern w:val="0"/>
                <w:sz w:val="18"/>
                <w:szCs w:val="18"/>
                <w:shd w:val="clear" w:fill="FFFFFF"/>
                <w:lang w:val="en-US" w:eastAsia="zh-CN" w:bidi="ar"/>
              </w:rPr>
              <w:instrText xml:space="preserve"> HYPERLINK "https://baike.baidu.com/item/%E6%B0%91%E6%94%BF%E9%83%A8/418133?fromModule=lemma_inlink" \t "https://baike.baidu.com/item/%E4%B8%AD%E5%9B%BD%E5%BB%BA%E8%AE%BE%E5%B7%A5%E7%A8%8B%E9%80%A0%E4%BB%B7%E7%AE%A1%E7%90%86%E5%8D%8F%E4%BC%9A/_blank" </w:instrTex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separate"/>
            </w:r>
            <w:r>
              <w:rPr>
                <w:rFonts w:hint="default" w:ascii="Helvetica" w:hAnsi="Helvetica" w:eastAsia="Helvetica" w:cs="Helvetica"/>
                <w:i w:val="0"/>
                <w:iCs w:val="0"/>
                <w:caps w:val="0"/>
                <w:color w:val="333333"/>
                <w:spacing w:val="0"/>
                <w:kern w:val="0"/>
                <w:sz w:val="18"/>
                <w:szCs w:val="18"/>
                <w:shd w:val="clear" w:fill="FFFFFF"/>
                <w:lang w:val="en-US" w:eastAsia="zh-CN" w:bidi="ar"/>
              </w:rPr>
              <w:t>民政部</w: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end"/>
            </w:r>
            <w:r>
              <w:rPr>
                <w:rFonts w:hint="default" w:ascii="Helvetica" w:hAnsi="Helvetica" w:eastAsia="Helvetica" w:cs="Helvetica"/>
                <w:i w:val="0"/>
                <w:iCs w:val="0"/>
                <w:caps w:val="0"/>
                <w:color w:val="333333"/>
                <w:spacing w:val="0"/>
                <w:kern w:val="0"/>
                <w:sz w:val="18"/>
                <w:szCs w:val="18"/>
                <w:shd w:val="clear" w:fill="FFFFFF"/>
                <w:lang w:val="en-US" w:eastAsia="zh-CN" w:bidi="ar"/>
              </w:rPr>
              <w:t>登记管理，部门</w: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begin"/>
            </w:r>
            <w:r>
              <w:rPr>
                <w:rFonts w:hint="default" w:ascii="Helvetica" w:hAnsi="Helvetica" w:eastAsia="Helvetica" w:cs="Helvetica"/>
                <w:i w:val="0"/>
                <w:iCs w:val="0"/>
                <w:caps w:val="0"/>
                <w:color w:val="333333"/>
                <w:spacing w:val="0"/>
                <w:kern w:val="0"/>
                <w:sz w:val="18"/>
                <w:szCs w:val="18"/>
                <w:shd w:val="clear" w:fill="FFFFFF"/>
                <w:lang w:val="en-US" w:eastAsia="zh-CN" w:bidi="ar"/>
              </w:rPr>
              <w:instrText xml:space="preserve"> HYPERLINK "https://baike.baidu.com/item/%E4%BD%8F%E6%88%BF%E5%92%8C%E5%9F%8E%E4%B9%A1%E5%BB%BA%E8%AE%BE%E9%83%A8/835272?fromModule=lemma_inlink" \t "https://baike.baidu.com/item/%E4%B8%AD%E5%9B%BD%E5%BB%BA%E8%AE%BE%E5%B7%A5%E7%A8%8B%E9%80%A0%E4%BB%B7%E7%AE%A1%E7%90%86%E5%8D%8F%E4%BC%9A/_blank" </w:instrTex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separate"/>
            </w:r>
            <w:r>
              <w:rPr>
                <w:rFonts w:hint="default" w:ascii="Helvetica" w:hAnsi="Helvetica" w:eastAsia="Helvetica" w:cs="Helvetica"/>
                <w:i w:val="0"/>
                <w:iCs w:val="0"/>
                <w:caps w:val="0"/>
                <w:color w:val="333333"/>
                <w:spacing w:val="0"/>
                <w:kern w:val="0"/>
                <w:sz w:val="18"/>
                <w:szCs w:val="18"/>
                <w:shd w:val="clear" w:fill="FFFFFF"/>
                <w:lang w:val="en-US" w:eastAsia="zh-CN" w:bidi="ar"/>
              </w:rPr>
              <w:t>住房和城乡建设部</w: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end"/>
            </w:r>
            <w:r>
              <w:rPr>
                <w:rFonts w:hint="default" w:ascii="Helvetica" w:hAnsi="Helvetica" w:eastAsia="Helvetica" w:cs="Helvetica"/>
                <w:i w:val="0"/>
                <w:iCs w:val="0"/>
                <w:caps w:val="0"/>
                <w:color w:val="333333"/>
                <w:spacing w:val="0"/>
                <w:kern w:val="0"/>
                <w:sz w:val="18"/>
                <w:szCs w:val="18"/>
                <w:shd w:val="clear" w:fill="FFFFFF"/>
                <w:lang w:val="en-US" w:eastAsia="zh-CN" w:bidi="ar"/>
              </w:rPr>
              <w:t>为业务主管，具有</w: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begin"/>
            </w:r>
            <w:r>
              <w:rPr>
                <w:rFonts w:hint="default" w:ascii="Helvetica" w:hAnsi="Helvetica" w:eastAsia="Helvetica" w:cs="Helvetica"/>
                <w:i w:val="0"/>
                <w:iCs w:val="0"/>
                <w:caps w:val="0"/>
                <w:color w:val="333333"/>
                <w:spacing w:val="0"/>
                <w:kern w:val="0"/>
                <w:sz w:val="18"/>
                <w:szCs w:val="18"/>
                <w:shd w:val="clear" w:fill="FFFFFF"/>
                <w:lang w:val="en-US" w:eastAsia="zh-CN" w:bidi="ar"/>
              </w:rPr>
              <w:instrText xml:space="preserve"> HYPERLINK "https://baike.baidu.com/item/%E6%B3%95%E4%BA%BA%E8%B5%84%E6%A0%BC/9198169?fromModule=lemma_inlink" \t "https://baike.baidu.com/item/%E4%B8%AD%E5%9B%BD%E5%BB%BA%E8%AE%BE%E5%B7%A5%E7%A8%8B%E9%80%A0%E4%BB%B7%E7%AE%A1%E7%90%86%E5%8D%8F%E4%BC%9A/_blank" </w:instrTex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separate"/>
            </w:r>
            <w:r>
              <w:rPr>
                <w:rFonts w:hint="default" w:ascii="Helvetica" w:hAnsi="Helvetica" w:eastAsia="Helvetica" w:cs="Helvetica"/>
                <w:i w:val="0"/>
                <w:iCs w:val="0"/>
                <w:caps w:val="0"/>
                <w:color w:val="333333"/>
                <w:spacing w:val="0"/>
                <w:kern w:val="0"/>
                <w:sz w:val="18"/>
                <w:szCs w:val="18"/>
                <w:shd w:val="clear" w:fill="FFFFFF"/>
                <w:lang w:val="en-US" w:eastAsia="zh-CN" w:bidi="ar"/>
              </w:rPr>
              <w:t>法人资格</w:t>
            </w:r>
            <w:r>
              <w:rPr>
                <w:rFonts w:hint="default" w:ascii="Helvetica" w:hAnsi="Helvetica" w:eastAsia="Helvetica" w:cs="Helvetica"/>
                <w:i w:val="0"/>
                <w:iCs w:val="0"/>
                <w:caps w:val="0"/>
                <w:color w:val="333333"/>
                <w:spacing w:val="0"/>
                <w:kern w:val="0"/>
                <w:sz w:val="18"/>
                <w:szCs w:val="18"/>
                <w:shd w:val="clear" w:fill="FFFFFF"/>
                <w:lang w:val="en-US" w:eastAsia="zh-CN" w:bidi="ar"/>
              </w:rPr>
              <w:fldChar w:fldCharType="end"/>
            </w:r>
            <w:r>
              <w:rPr>
                <w:rFonts w:hint="default" w:ascii="Helvetica" w:hAnsi="Helvetica" w:eastAsia="Helvetica" w:cs="Helvetica"/>
                <w:i w:val="0"/>
                <w:iCs w:val="0"/>
                <w:caps w:val="0"/>
                <w:color w:val="333333"/>
                <w:spacing w:val="0"/>
                <w:kern w:val="0"/>
                <w:sz w:val="18"/>
                <w:szCs w:val="18"/>
                <w:shd w:val="clear" w:fill="FFFFFF"/>
                <w:lang w:val="en-US" w:eastAsia="zh-CN" w:bidi="ar"/>
              </w:rPr>
              <w:t>的全国性社会团体。是由工程造价咨询企业、注册造价工程师、工程造价管理单位以及与工程造价相关的建设、设计、施工、教学、软件等领域的资深专家、学者自愿结成的全国性、行业性社会团体，是非营利性社会组织。</w:t>
            </w:r>
            <w:r>
              <w:rPr>
                <w:rFonts w:hint="eastAsia" w:ascii="Helvetica" w:hAnsi="Helvetica" w:eastAsia="Helvetica" w:cs="Helvetica"/>
                <w:i w:val="0"/>
                <w:iCs w:val="0"/>
                <w:caps w:val="0"/>
                <w:color w:val="333333"/>
                <w:spacing w:val="0"/>
                <w:sz w:val="18"/>
                <w:szCs w:val="18"/>
                <w:shd w:val="clear" w:fill="FFFFFF"/>
              </w:rPr>
              <w:t>根据协会章程规定的职责任务，协会设5个职能部室，即资质注册部、教育培训部、科研信息部、期刊编辑部、办公室。贯彻执行政府的有关方针政策，为政府和会员提供服务；坚持公平、公正的原则，维护会员的合法权益，向政府及其有关部门反映工程造价行业和会员的建议和诉求；规范工程造价咨询行业行为，引导会员遵守职业准则，推动行业诚信建设。为合理确定和有效控制工程造价，提高</w:t>
            </w:r>
            <w:r>
              <w:rPr>
                <w:rFonts w:hint="default" w:ascii="Helvetica" w:hAnsi="Helvetica" w:eastAsia="Helvetica" w:cs="Helvetica"/>
                <w:i w:val="0"/>
                <w:iCs w:val="0"/>
                <w:caps w:val="0"/>
                <w:color w:val="333333"/>
                <w:spacing w:val="0"/>
                <w:sz w:val="18"/>
                <w:szCs w:val="18"/>
                <w:shd w:val="clear" w:fill="FFFFFF"/>
              </w:rPr>
              <w:fldChar w:fldCharType="begin"/>
            </w:r>
            <w:r>
              <w:rPr>
                <w:rFonts w:hint="default" w:ascii="Helvetica" w:hAnsi="Helvetica" w:eastAsia="Helvetica" w:cs="Helvetica"/>
                <w:i w:val="0"/>
                <w:iCs w:val="0"/>
                <w:caps w:val="0"/>
                <w:color w:val="333333"/>
                <w:spacing w:val="0"/>
                <w:sz w:val="18"/>
                <w:szCs w:val="18"/>
                <w:shd w:val="clear" w:fill="FFFFFF"/>
              </w:rPr>
              <w:instrText xml:space="preserve"> HYPERLINK "https://baike.baidu.com/item/%E6%8A%95%E8%B5%84%E6%95%88%E7%9B%8A/6062185?fromModule=lemma_inlink" \t "https://baike.baidu.com/item/%E4%B8%AD%E5%9B%BD%E5%BB%BA%E8%AE%BE%E5%B7%A5%E7%A8%8B%E9%80%A0%E4%BB%B7%E7%AE%A1%E7%90%86%E5%8D%8F%E4%BC%9A/_blank" </w:instrText>
            </w:r>
            <w:r>
              <w:rPr>
                <w:rFonts w:hint="default" w:ascii="Helvetica" w:hAnsi="Helvetica" w:eastAsia="Helvetica" w:cs="Helvetica"/>
                <w:i w:val="0"/>
                <w:iCs w:val="0"/>
                <w:caps w:val="0"/>
                <w:color w:val="333333"/>
                <w:spacing w:val="0"/>
                <w:sz w:val="18"/>
                <w:szCs w:val="18"/>
                <w:shd w:val="clear" w:fill="FFFFFF"/>
              </w:rPr>
              <w:fldChar w:fldCharType="separate"/>
            </w:r>
            <w:r>
              <w:rPr>
                <w:rFonts w:hint="default" w:ascii="Helvetica" w:hAnsi="Helvetica" w:eastAsia="Helvetica" w:cs="Helvetica"/>
                <w:i w:val="0"/>
                <w:iCs w:val="0"/>
                <w:caps w:val="0"/>
                <w:color w:val="333333"/>
                <w:spacing w:val="0"/>
                <w:sz w:val="18"/>
                <w:szCs w:val="18"/>
                <w:shd w:val="clear" w:fill="FFFFFF"/>
              </w:rPr>
              <w:t>投资效益</w:t>
            </w:r>
            <w:r>
              <w:rPr>
                <w:rFonts w:hint="default" w:ascii="Helvetica" w:hAnsi="Helvetica" w:eastAsia="Helvetica" w:cs="Helvetica"/>
                <w:i w:val="0"/>
                <w:iCs w:val="0"/>
                <w:caps w:val="0"/>
                <w:color w:val="333333"/>
                <w:spacing w:val="0"/>
                <w:sz w:val="18"/>
                <w:szCs w:val="18"/>
                <w:shd w:val="clear" w:fill="FFFFFF"/>
              </w:rPr>
              <w:fldChar w:fldCharType="end"/>
            </w:r>
            <w:r>
              <w:rPr>
                <w:rFonts w:hint="default" w:ascii="Helvetica" w:hAnsi="Helvetica" w:eastAsia="Helvetica" w:cs="Helvetica"/>
                <w:i w:val="0"/>
                <w:iCs w:val="0"/>
                <w:caps w:val="0"/>
                <w:color w:val="333333"/>
                <w:spacing w:val="0"/>
                <w:sz w:val="18"/>
                <w:szCs w:val="18"/>
                <w:shd w:val="clear" w:fill="FFFFFF"/>
              </w:rPr>
              <w:t>，推进经济社会又快又好地持续发展而努力工作。</w:t>
            </w:r>
          </w:p>
        </w:tc>
      </w:tr>
      <w:tr w14:paraId="7784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1" w:hRule="atLeast"/>
          <w:jc w:val="center"/>
        </w:trPr>
        <w:tc>
          <w:tcPr>
            <w:tcW w:w="1253" w:type="dxa"/>
            <w:tcMar>
              <w:top w:w="85" w:type="dxa"/>
              <w:bottom w:w="85" w:type="dxa"/>
            </w:tcMar>
            <w:vAlign w:val="center"/>
          </w:tcPr>
          <w:p w14:paraId="5F860A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kern w:val="0"/>
                <w:sz w:val="20"/>
                <w:szCs w:val="21"/>
                <w:lang w:val="zh-CN" w:bidi="zh-CN"/>
              </w:rPr>
            </w:pPr>
            <w:r>
              <w:rPr>
                <w:rFonts w:hint="eastAsia" w:ascii="Times New Roman" w:hAnsi="Times New Roman" w:eastAsia="宋体"/>
                <w:kern w:val="0"/>
                <w:szCs w:val="21"/>
                <w:lang w:val="zh-CN" w:bidi="zh-CN"/>
              </w:rPr>
              <w:t>安徽省</w:t>
            </w:r>
            <w:r>
              <w:rPr>
                <w:rFonts w:hint="eastAsia" w:ascii="Times New Roman" w:hAnsi="Times New Roman" w:eastAsia="宋体"/>
                <w:kern w:val="0"/>
                <w:szCs w:val="21"/>
                <w:lang w:val="en-US" w:bidi="zh-CN"/>
              </w:rPr>
              <w:t>建设工程造价管理</w:t>
            </w:r>
            <w:r>
              <w:rPr>
                <w:rFonts w:hint="eastAsia" w:ascii="Times New Roman" w:hAnsi="Times New Roman" w:eastAsia="宋体"/>
                <w:kern w:val="0"/>
                <w:szCs w:val="21"/>
                <w:lang w:val="zh-CN" w:bidi="zh-CN"/>
              </w:rPr>
              <w:t>协会</w:t>
            </w:r>
          </w:p>
        </w:tc>
        <w:tc>
          <w:tcPr>
            <w:tcW w:w="7867" w:type="dxa"/>
            <w:tcMar>
              <w:top w:w="85" w:type="dxa"/>
              <w:bottom w:w="85" w:type="dxa"/>
            </w:tcMar>
            <w:vAlign w:val="center"/>
          </w:tcPr>
          <w:p w14:paraId="39CCE1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360" w:firstLineChars="200"/>
              <w:textAlignment w:val="auto"/>
              <w:rPr>
                <w:rFonts w:hint="eastAsia" w:ascii="Times New Roman" w:hAnsi="Times New Roman" w:eastAsia="宋体" w:cs="Times New Roman"/>
                <w:kern w:val="0"/>
                <w:sz w:val="20"/>
                <w:szCs w:val="21"/>
                <w:lang w:val="zh-CN" w:bidi="zh-CN"/>
              </w:rPr>
            </w:pPr>
            <w:r>
              <w:rPr>
                <w:rFonts w:hint="eastAsia" w:ascii="宋体" w:hAnsi="宋体" w:eastAsia="宋体" w:cs="宋体"/>
                <w:i w:val="0"/>
                <w:iCs w:val="0"/>
                <w:caps w:val="0"/>
                <w:color w:val="000000"/>
                <w:spacing w:val="0"/>
                <w:sz w:val="18"/>
                <w:szCs w:val="18"/>
                <w:shd w:val="clear" w:fill="FAFAFA"/>
              </w:rPr>
              <w:t>安徽省建设工程造价管理协会，是经安徽省民政厅登记注册，在安徽省住房和城乡建设厅的领导下，在中国建设工程造价管理协会的指导下，由全省工程造价咨询企业，建设、设计、施工、监理等有关单位，注册造价工程师等专业人员以及工程造价及相关领域专家、学者自愿结成的全省性、行业性、非营利性社会团体。协会以工程造价管理为主题开展活动，承担政府、社会关于工程造价专业方面的服务性的工作任务。协会的宗旨是：坚持党建引领，贯彻执行党和政府有关方针政策，为政府、行业、会员和社会提供服务；秉承客观、公平、公正的原则，反映行业愿景和诉求，维护会员合法权益；规范行业自律行为，完善行业诚信体系；深化开展交流合作，持续推进技术进步，积极培育复合人才，促进行业高质量发展；为合理确定和有效控制工程造价，服务“三地一区”建设，推动全省经济社会发展发挥积极作用。</w:t>
            </w:r>
          </w:p>
        </w:tc>
      </w:tr>
      <w:tr w14:paraId="7038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9" w:hRule="atLeast"/>
          <w:jc w:val="center"/>
        </w:trPr>
        <w:tc>
          <w:tcPr>
            <w:tcW w:w="1253" w:type="dxa"/>
            <w:tcMar>
              <w:top w:w="85" w:type="dxa"/>
              <w:bottom w:w="85" w:type="dxa"/>
            </w:tcMar>
            <w:vAlign w:val="center"/>
          </w:tcPr>
          <w:p w14:paraId="58205C09">
            <w:pPr>
              <w:keepNext w:val="0"/>
              <w:keepLines w:val="0"/>
              <w:suppressLineNumbers w:val="0"/>
              <w:spacing w:before="0" w:beforeAutospacing="0" w:after="0" w:afterAutospacing="0" w:line="300" w:lineRule="exact"/>
              <w:ind w:left="0" w:right="0"/>
              <w:jc w:val="center"/>
              <w:rPr>
                <w:rFonts w:hint="eastAsia" w:ascii="Times New Roman" w:hAnsi="Times New Roman" w:eastAsia="宋体" w:cs="Times New Roman"/>
                <w:kern w:val="0"/>
                <w:sz w:val="20"/>
                <w:szCs w:val="21"/>
                <w:lang w:val="zh-CN" w:bidi="zh-CN"/>
              </w:rPr>
            </w:pPr>
            <w:r>
              <w:rPr>
                <w:rFonts w:hint="eastAsia" w:ascii="Times New Roman" w:hAnsi="Times New Roman" w:eastAsia="宋体"/>
                <w:kern w:val="0"/>
                <w:szCs w:val="21"/>
                <w:lang w:val="en-US" w:bidi="zh-CN"/>
              </w:rPr>
              <w:t>合肥市建设工程造价协会</w:t>
            </w:r>
          </w:p>
        </w:tc>
        <w:tc>
          <w:tcPr>
            <w:tcW w:w="7867" w:type="dxa"/>
            <w:tcMar>
              <w:top w:w="85" w:type="dxa"/>
              <w:bottom w:w="85" w:type="dxa"/>
            </w:tcMar>
            <w:vAlign w:val="center"/>
          </w:tcPr>
          <w:p w14:paraId="1AC255DD">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ind w:left="0" w:right="0" w:firstLine="360" w:firstLineChars="200"/>
              <w:jc w:val="left"/>
              <w:textAlignment w:val="auto"/>
              <w:rPr>
                <w:rFonts w:hint="eastAsia" w:ascii="仿宋_GB2312" w:hAnsi="仿宋_GB2312" w:eastAsia="仿宋_GB2312" w:cs="仿宋_GB2312"/>
                <w:i w:val="0"/>
                <w:iCs w:val="0"/>
                <w:caps w:val="0"/>
                <w:color w:val="000000"/>
                <w:spacing w:val="0"/>
                <w:sz w:val="18"/>
                <w:szCs w:val="18"/>
                <w:shd w:val="clear" w:fill="FFFFFF"/>
                <w:lang w:val="en-US" w:eastAsia="zh-CN"/>
              </w:rPr>
            </w:pPr>
            <w:r>
              <w:rPr>
                <w:rFonts w:hint="eastAsia" w:ascii="仿宋_GB2312" w:hAnsi="仿宋_GB2312" w:eastAsia="仿宋_GB2312" w:cs="仿宋_GB2312"/>
                <w:i w:val="0"/>
                <w:iCs w:val="0"/>
                <w:caps w:val="0"/>
                <w:color w:val="000000"/>
                <w:spacing w:val="0"/>
                <w:sz w:val="18"/>
                <w:szCs w:val="18"/>
                <w:shd w:val="clear" w:fill="FFFFFF"/>
              </w:rPr>
              <w:t>合肥市建设工程造价协会</w:t>
            </w:r>
            <w:r>
              <w:rPr>
                <w:rFonts w:hint="eastAsia" w:ascii="仿宋_GB2312" w:hAnsi="仿宋_GB2312" w:eastAsia="仿宋_GB2312" w:cs="仿宋_GB2312"/>
                <w:i w:val="0"/>
                <w:iCs w:val="0"/>
                <w:caps w:val="0"/>
                <w:color w:val="000000"/>
                <w:spacing w:val="0"/>
                <w:sz w:val="18"/>
                <w:szCs w:val="18"/>
                <w:shd w:val="clear" w:fill="FFFFFF"/>
                <w:lang w:eastAsia="zh-CN"/>
              </w:rPr>
              <w:t>，</w:t>
            </w:r>
            <w:r>
              <w:rPr>
                <w:rFonts w:hint="eastAsia" w:ascii="仿宋_GB2312" w:hAnsi="仿宋_GB2312" w:eastAsia="仿宋_GB2312" w:cs="仿宋_GB2312"/>
                <w:i w:val="0"/>
                <w:iCs w:val="0"/>
                <w:caps w:val="0"/>
                <w:color w:val="000000"/>
                <w:spacing w:val="0"/>
                <w:sz w:val="18"/>
                <w:szCs w:val="18"/>
                <w:shd w:val="clear" w:fill="FFFFFF"/>
              </w:rPr>
              <w:t>是由我市从事工程造价工作的管理、咨询、建设、设计、施工、教学等单位和造价从业人员及工程造价领域的资深专家、学者为主要会员,自愿组成的全市性、行业性、非营利性的社会团体。</w:t>
            </w:r>
            <w:r>
              <w:rPr>
                <w:rFonts w:hint="eastAsia" w:ascii="仿宋_GB2312" w:hAnsi="仿宋_GB2312" w:eastAsia="仿宋_GB2312" w:cs="仿宋_GB2312"/>
                <w:i w:val="0"/>
                <w:iCs w:val="0"/>
                <w:caps w:val="0"/>
                <w:color w:val="000000"/>
                <w:spacing w:val="0"/>
                <w:sz w:val="18"/>
                <w:szCs w:val="18"/>
                <w:shd w:val="clear" w:fill="FFFFFF"/>
                <w:lang w:val="en-US" w:eastAsia="zh-CN"/>
              </w:rPr>
              <w:t>近三年获得合肥市十大创新商协会、合肥市社会组织5A协会等荣誉。</w:t>
            </w:r>
          </w:p>
          <w:p w14:paraId="0FD2C65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ind w:left="0" w:right="0" w:firstLine="360" w:firstLineChars="200"/>
              <w:jc w:val="left"/>
              <w:textAlignment w:val="auto"/>
              <w:rPr>
                <w:rFonts w:hint="eastAsia" w:ascii="仿宋_GB2312" w:hAnsi="仿宋_GB2312" w:eastAsia="仿宋_GB2312" w:cs="仿宋_GB2312"/>
                <w:i w:val="0"/>
                <w:iCs w:val="0"/>
                <w:caps w:val="0"/>
                <w:color w:val="000000"/>
                <w:spacing w:val="0"/>
                <w:sz w:val="18"/>
                <w:szCs w:val="18"/>
                <w:shd w:val="clear" w:fill="FFFFFF"/>
              </w:rPr>
            </w:pPr>
            <w:r>
              <w:rPr>
                <w:rFonts w:hint="eastAsia" w:ascii="仿宋_GB2312" w:hAnsi="仿宋_GB2312" w:eastAsia="仿宋_GB2312" w:cs="仿宋_GB2312"/>
                <w:i w:val="0"/>
                <w:iCs w:val="0"/>
                <w:caps w:val="0"/>
                <w:color w:val="000000"/>
                <w:spacing w:val="0"/>
                <w:sz w:val="18"/>
                <w:szCs w:val="18"/>
                <w:shd w:val="clear" w:fill="FFFFFF"/>
                <w:lang w:val="en-US" w:eastAsia="zh-CN"/>
              </w:rPr>
              <w:t>协会</w:t>
            </w:r>
            <w:r>
              <w:rPr>
                <w:rFonts w:hint="eastAsia" w:ascii="仿宋_GB2312" w:hAnsi="仿宋_GB2312" w:eastAsia="仿宋_GB2312" w:cs="仿宋_GB2312"/>
                <w:i w:val="0"/>
                <w:iCs w:val="0"/>
                <w:caps w:val="0"/>
                <w:color w:val="000000"/>
                <w:spacing w:val="0"/>
                <w:sz w:val="18"/>
                <w:szCs w:val="18"/>
                <w:shd w:val="clear" w:fill="FFFFFF"/>
              </w:rPr>
              <w:t>宗旨是：坚持以习近平新时代中国特色社会主义思想为指导，全面贯彻落实党中央重大决策部署。认真履行提供服务，反映诉求，规范行为的职责,维护会员的合法权益，为合理确定和有效控制工程造价，提升建设项目投资价值和效益，推动工程建设高质量发展贡献力量。</w:t>
            </w:r>
            <w:r>
              <w:rPr>
                <w:rFonts w:hint="eastAsia" w:ascii="仿宋_GB2312" w:hAnsi="仿宋_GB2312" w:eastAsia="仿宋_GB2312" w:cs="仿宋_GB2312"/>
                <w:i w:val="0"/>
                <w:iCs w:val="0"/>
                <w:caps w:val="0"/>
                <w:color w:val="000000"/>
                <w:spacing w:val="0"/>
                <w:sz w:val="18"/>
                <w:szCs w:val="18"/>
                <w:shd w:val="clear" w:fill="FFFFFF"/>
                <w:lang w:val="en-US" w:eastAsia="zh-CN"/>
              </w:rPr>
              <w:t>协会</w:t>
            </w:r>
            <w:r>
              <w:rPr>
                <w:rFonts w:hint="eastAsia" w:ascii="仿宋_GB2312" w:hAnsi="仿宋_GB2312" w:eastAsia="仿宋_GB2312" w:cs="仿宋_GB2312"/>
                <w:i w:val="0"/>
                <w:iCs w:val="0"/>
                <w:caps w:val="0"/>
                <w:color w:val="000000"/>
                <w:spacing w:val="0"/>
                <w:sz w:val="18"/>
                <w:szCs w:val="18"/>
                <w:shd w:val="clear" w:fill="FFFFFF"/>
              </w:rPr>
              <w:t>遵守宪法、法律、法规和国家政策，践行社会主义核心价值观，弘扬爱国主义精神，遵守社会道德风尚，自觉加强诚信自律建设。</w:t>
            </w:r>
          </w:p>
          <w:p w14:paraId="263257BD">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ind w:left="0" w:right="0" w:firstLine="360" w:firstLineChars="200"/>
              <w:jc w:val="left"/>
              <w:textAlignment w:val="auto"/>
              <w:rPr>
                <w:rFonts w:hint="default" w:ascii="Verdana" w:hAnsi="Verdana" w:cs="Verdana"/>
                <w:i w:val="0"/>
                <w:iCs w:val="0"/>
                <w:caps w:val="0"/>
                <w:color w:val="808080"/>
                <w:spacing w:val="0"/>
                <w:sz w:val="18"/>
                <w:szCs w:val="18"/>
              </w:rPr>
            </w:pPr>
            <w:r>
              <w:rPr>
                <w:rFonts w:hint="eastAsia" w:ascii="仿宋_GB2312" w:hAnsi="仿宋_GB2312" w:eastAsia="仿宋_GB2312" w:cs="仿宋_GB2312"/>
                <w:i w:val="0"/>
                <w:iCs w:val="0"/>
                <w:caps w:val="0"/>
                <w:color w:val="000000"/>
                <w:spacing w:val="0"/>
                <w:sz w:val="18"/>
                <w:szCs w:val="18"/>
                <w:shd w:val="clear" w:fill="FFFFFF"/>
                <w:lang w:val="en-US" w:eastAsia="zh-CN"/>
              </w:rPr>
              <w:t>协会</w:t>
            </w:r>
            <w:r>
              <w:rPr>
                <w:rFonts w:hint="eastAsia" w:ascii="仿宋_GB2312" w:hAnsi="仿宋_GB2312" w:eastAsia="仿宋_GB2312" w:cs="仿宋_GB2312"/>
                <w:i w:val="0"/>
                <w:iCs w:val="0"/>
                <w:caps w:val="0"/>
                <w:color w:val="000000"/>
                <w:spacing w:val="0"/>
                <w:sz w:val="18"/>
                <w:szCs w:val="18"/>
                <w:shd w:val="clear" w:fill="FFFFFF"/>
              </w:rPr>
              <w:t>的业务范围：</w:t>
            </w:r>
          </w:p>
          <w:p w14:paraId="6B2FF6AB">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eastAsia" w:ascii="Times New Roman" w:hAnsi="Times New Roman" w:eastAsia="宋体" w:cs="Times New Roman"/>
                <w:kern w:val="0"/>
                <w:sz w:val="18"/>
                <w:szCs w:val="18"/>
                <w:lang w:val="zh-CN" w:bidi="zh-CN"/>
              </w:rPr>
            </w:pPr>
            <w:r>
              <w:rPr>
                <w:rFonts w:hint="eastAsia" w:ascii="仿宋_GB2312" w:hAnsi="仿宋_GB2312" w:eastAsia="仿宋_GB2312" w:cs="仿宋_GB2312"/>
                <w:i w:val="0"/>
                <w:iCs w:val="0"/>
                <w:caps w:val="0"/>
                <w:color w:val="000000"/>
                <w:spacing w:val="0"/>
                <w:sz w:val="18"/>
                <w:szCs w:val="18"/>
                <w:shd w:val="clear" w:fill="FFFFFF"/>
                <w:lang w:val="en-US" w:eastAsia="zh-CN"/>
              </w:rPr>
              <w:t>1.</w:t>
            </w:r>
            <w:r>
              <w:rPr>
                <w:rFonts w:hint="eastAsia" w:ascii="仿宋_GB2312" w:hAnsi="仿宋_GB2312" w:eastAsia="仿宋_GB2312" w:cs="仿宋_GB2312"/>
                <w:i w:val="0"/>
                <w:iCs w:val="0"/>
                <w:caps w:val="0"/>
                <w:color w:val="000000"/>
                <w:spacing w:val="0"/>
                <w:sz w:val="18"/>
                <w:szCs w:val="18"/>
                <w:shd w:val="clear" w:fill="FFFFFF"/>
              </w:rPr>
              <w:t>接受政府部门委托，研究合肥市工程造价管理改革和发展的趋势，深入开展本市工程造价行业及计价依据的调查研究，向政府部门提出技术建议、反映本行业及本协会会员诉求；</w:t>
            </w:r>
            <w:r>
              <w:rPr>
                <w:rFonts w:hint="eastAsia" w:ascii="仿宋_GB2312" w:hAnsi="仿宋_GB2312" w:eastAsia="仿宋_GB2312" w:cs="仿宋_GB2312"/>
                <w:i w:val="0"/>
                <w:iCs w:val="0"/>
                <w:caps w:val="0"/>
                <w:color w:val="000000"/>
                <w:spacing w:val="0"/>
                <w:sz w:val="18"/>
                <w:szCs w:val="18"/>
                <w:shd w:val="clear" w:fill="FFFFFF"/>
                <w:lang w:val="en-US" w:eastAsia="zh-CN"/>
              </w:rPr>
              <w:t>2.</w:t>
            </w:r>
            <w:r>
              <w:rPr>
                <w:rFonts w:hint="eastAsia" w:ascii="仿宋_GB2312" w:hAnsi="仿宋_GB2312" w:eastAsia="仿宋_GB2312" w:cs="仿宋_GB2312"/>
                <w:i w:val="0"/>
                <w:iCs w:val="0"/>
                <w:caps w:val="0"/>
                <w:color w:val="000000"/>
                <w:spacing w:val="0"/>
                <w:sz w:val="18"/>
                <w:szCs w:val="18"/>
                <w:shd w:val="clear" w:fill="FFFFFF"/>
              </w:rPr>
              <w:t>根据授权，统计、分析、整理及发布有关工程造价管理行业信息信息，组织编制《合肥工程造价》内部交流资料等专业资料；</w:t>
            </w:r>
            <w:r>
              <w:rPr>
                <w:rFonts w:hint="eastAsia" w:ascii="仿宋_GB2312" w:hAnsi="仿宋_GB2312" w:eastAsia="仿宋_GB2312" w:cs="仿宋_GB2312"/>
                <w:i w:val="0"/>
                <w:iCs w:val="0"/>
                <w:caps w:val="0"/>
                <w:color w:val="000000"/>
                <w:spacing w:val="0"/>
                <w:sz w:val="18"/>
                <w:szCs w:val="18"/>
                <w:shd w:val="clear" w:fill="FFFFFF"/>
                <w:lang w:val="en-US" w:eastAsia="zh-CN"/>
              </w:rPr>
              <w:t>3.</w:t>
            </w:r>
            <w:r>
              <w:rPr>
                <w:rFonts w:hint="eastAsia" w:ascii="仿宋_GB2312" w:hAnsi="仿宋_GB2312" w:eastAsia="仿宋_GB2312" w:cs="仿宋_GB2312"/>
                <w:i w:val="0"/>
                <w:iCs w:val="0"/>
                <w:caps w:val="0"/>
                <w:color w:val="000000"/>
                <w:spacing w:val="0"/>
                <w:sz w:val="18"/>
                <w:szCs w:val="18"/>
                <w:shd w:val="clear" w:fill="FFFFFF"/>
              </w:rPr>
              <w:t>参与相关法律法规、行业标准、行业发展规划、行业准入条件的修改和制订；</w:t>
            </w:r>
            <w:r>
              <w:rPr>
                <w:rFonts w:hint="eastAsia" w:ascii="仿宋_GB2312" w:hAnsi="仿宋_GB2312" w:eastAsia="仿宋_GB2312" w:cs="仿宋_GB2312"/>
                <w:i w:val="0"/>
                <w:iCs w:val="0"/>
                <w:caps w:val="0"/>
                <w:color w:val="000000"/>
                <w:spacing w:val="0"/>
                <w:sz w:val="18"/>
                <w:szCs w:val="18"/>
                <w:shd w:val="clear" w:fill="FFFFFF"/>
                <w:lang w:val="en-US" w:eastAsia="zh-CN"/>
              </w:rPr>
              <w:t>4.</w:t>
            </w:r>
            <w:r>
              <w:rPr>
                <w:rFonts w:hint="eastAsia" w:ascii="仿宋_GB2312" w:hAnsi="仿宋_GB2312" w:eastAsia="仿宋_GB2312" w:cs="仿宋_GB2312"/>
                <w:i w:val="0"/>
                <w:iCs w:val="0"/>
                <w:caps w:val="0"/>
                <w:color w:val="000000"/>
                <w:spacing w:val="0"/>
                <w:sz w:val="18"/>
                <w:szCs w:val="18"/>
                <w:shd w:val="clear" w:fill="FFFFFF"/>
              </w:rPr>
              <w:t>组织、参与行业内调研、峰会、交流会、全咨论坛、专业赋能培训、专业培训、岗位技能培训等业内活动，提升本市从业人员专业能力和职业素养；</w:t>
            </w:r>
            <w:r>
              <w:rPr>
                <w:rFonts w:hint="eastAsia" w:ascii="仿宋_GB2312" w:hAnsi="仿宋_GB2312" w:eastAsia="仿宋_GB2312" w:cs="仿宋_GB2312"/>
                <w:i w:val="0"/>
                <w:iCs w:val="0"/>
                <w:caps w:val="0"/>
                <w:color w:val="000000"/>
                <w:spacing w:val="0"/>
                <w:sz w:val="18"/>
                <w:szCs w:val="18"/>
                <w:shd w:val="clear" w:fill="FFFFFF"/>
                <w:lang w:val="en-US" w:eastAsia="zh-CN"/>
              </w:rPr>
              <w:t>5.</w:t>
            </w:r>
            <w:r>
              <w:rPr>
                <w:rFonts w:hint="eastAsia" w:ascii="仿宋_GB2312" w:hAnsi="仿宋_GB2312" w:eastAsia="仿宋_GB2312" w:cs="仿宋_GB2312"/>
                <w:i w:val="0"/>
                <w:iCs w:val="0"/>
                <w:caps w:val="0"/>
                <w:color w:val="000000"/>
                <w:spacing w:val="0"/>
                <w:sz w:val="18"/>
                <w:szCs w:val="18"/>
                <w:shd w:val="clear" w:fill="FFFFFF"/>
              </w:rPr>
              <w:t>加强校、企、协三方合作，和省内外相关高校开展各类调研交流、就业指导服务工作；加强与其它地方造价管理协会的联系与合作，搭建会员服务和交流平台，组织开展经验交流；</w:t>
            </w:r>
            <w:r>
              <w:rPr>
                <w:rFonts w:hint="eastAsia" w:ascii="仿宋_GB2312" w:hAnsi="仿宋_GB2312" w:eastAsia="仿宋_GB2312" w:cs="仿宋_GB2312"/>
                <w:i w:val="0"/>
                <w:iCs w:val="0"/>
                <w:caps w:val="0"/>
                <w:color w:val="000000"/>
                <w:spacing w:val="0"/>
                <w:sz w:val="18"/>
                <w:szCs w:val="18"/>
                <w:shd w:val="clear" w:fill="FFFFFF"/>
                <w:lang w:val="en-US" w:eastAsia="zh-CN"/>
              </w:rPr>
              <w:t>6.</w:t>
            </w:r>
            <w:r>
              <w:rPr>
                <w:rFonts w:hint="eastAsia" w:ascii="仿宋_GB2312" w:hAnsi="仿宋_GB2312" w:eastAsia="仿宋_GB2312" w:cs="仿宋_GB2312"/>
                <w:i w:val="0"/>
                <w:iCs w:val="0"/>
                <w:caps w:val="0"/>
                <w:color w:val="000000"/>
                <w:spacing w:val="0"/>
                <w:sz w:val="18"/>
                <w:szCs w:val="18"/>
                <w:shd w:val="clear" w:fill="FFFFFF"/>
              </w:rPr>
              <w:t>常态化开展“会长接待日”、“走进会员企业”、各类座谈会、调研会等活动，了解会员需求，倾听会员心声；</w:t>
            </w:r>
            <w:r>
              <w:rPr>
                <w:rFonts w:hint="eastAsia" w:ascii="仿宋_GB2312" w:hAnsi="仿宋_GB2312" w:eastAsia="仿宋_GB2312" w:cs="仿宋_GB2312"/>
                <w:i w:val="0"/>
                <w:iCs w:val="0"/>
                <w:caps w:val="0"/>
                <w:color w:val="000000"/>
                <w:spacing w:val="0"/>
                <w:sz w:val="18"/>
                <w:szCs w:val="18"/>
                <w:shd w:val="clear" w:fill="FFFFFF"/>
                <w:lang w:val="en-US" w:eastAsia="zh-CN"/>
              </w:rPr>
              <w:t>7.</w:t>
            </w:r>
            <w:r>
              <w:rPr>
                <w:rFonts w:hint="eastAsia" w:ascii="仿宋_GB2312" w:hAnsi="仿宋_GB2312" w:eastAsia="仿宋_GB2312" w:cs="仿宋_GB2312"/>
                <w:i w:val="0"/>
                <w:iCs w:val="0"/>
                <w:caps w:val="0"/>
                <w:color w:val="000000"/>
                <w:spacing w:val="0"/>
                <w:sz w:val="18"/>
                <w:szCs w:val="18"/>
                <w:shd w:val="clear" w:fill="FFFFFF"/>
              </w:rPr>
              <w:t>组织开展合肥市优秀造价咨询企业和优秀造价人员评选，制定相关制度、优化评选方案；每两年组织开展合肥市优秀成果文件评选；</w:t>
            </w:r>
            <w:r>
              <w:rPr>
                <w:rFonts w:hint="eastAsia" w:ascii="仿宋_GB2312" w:hAnsi="仿宋_GB2312" w:eastAsia="仿宋_GB2312" w:cs="仿宋_GB2312"/>
                <w:i w:val="0"/>
                <w:iCs w:val="0"/>
                <w:caps w:val="0"/>
                <w:color w:val="000000"/>
                <w:spacing w:val="0"/>
                <w:sz w:val="18"/>
                <w:szCs w:val="18"/>
                <w:shd w:val="clear" w:fill="FFFFFF"/>
                <w:lang w:val="en-US" w:eastAsia="zh-CN"/>
              </w:rPr>
              <w:t>8.</w:t>
            </w:r>
            <w:r>
              <w:rPr>
                <w:rFonts w:hint="eastAsia" w:ascii="仿宋_GB2312" w:hAnsi="仿宋_GB2312" w:eastAsia="仿宋_GB2312" w:cs="仿宋_GB2312"/>
                <w:i w:val="0"/>
                <w:iCs w:val="0"/>
                <w:caps w:val="0"/>
                <w:color w:val="000000"/>
                <w:spacing w:val="0"/>
                <w:sz w:val="18"/>
                <w:szCs w:val="18"/>
                <w:shd w:val="clear" w:fill="FFFFFF"/>
              </w:rPr>
              <w:t>开展工程造价行业纠纷调解；</w:t>
            </w:r>
            <w:r>
              <w:rPr>
                <w:rFonts w:hint="eastAsia" w:ascii="仿宋_GB2312" w:hAnsi="仿宋_GB2312" w:eastAsia="仿宋_GB2312" w:cs="仿宋_GB2312"/>
                <w:i w:val="0"/>
                <w:iCs w:val="0"/>
                <w:caps w:val="0"/>
                <w:color w:val="000000"/>
                <w:spacing w:val="0"/>
                <w:sz w:val="18"/>
                <w:szCs w:val="18"/>
                <w:shd w:val="clear" w:fill="FFFFFF"/>
                <w:lang w:val="en-US" w:eastAsia="zh-CN"/>
              </w:rPr>
              <w:t>9.</w:t>
            </w:r>
            <w:r>
              <w:rPr>
                <w:rFonts w:hint="eastAsia" w:ascii="仿宋_GB2312" w:hAnsi="仿宋_GB2312" w:eastAsia="仿宋_GB2312" w:cs="仿宋_GB2312"/>
                <w:i w:val="0"/>
                <w:iCs w:val="0"/>
                <w:caps w:val="0"/>
                <w:color w:val="000000"/>
                <w:spacing w:val="0"/>
                <w:sz w:val="18"/>
                <w:szCs w:val="18"/>
                <w:shd w:val="clear" w:fill="FFFFFF"/>
              </w:rPr>
              <w:t>依照有关规定，主办《合肥工程造价》期刊、协会网站和微信公众号，为会员提供信息服务；</w:t>
            </w:r>
            <w:r>
              <w:rPr>
                <w:rFonts w:hint="eastAsia" w:ascii="仿宋_GB2312" w:hAnsi="仿宋_GB2312" w:eastAsia="仿宋_GB2312" w:cs="仿宋_GB2312"/>
                <w:i w:val="0"/>
                <w:iCs w:val="0"/>
                <w:caps w:val="0"/>
                <w:color w:val="000000"/>
                <w:spacing w:val="0"/>
                <w:sz w:val="18"/>
                <w:szCs w:val="18"/>
                <w:shd w:val="clear" w:fill="FFFFFF"/>
                <w:lang w:val="en-US" w:eastAsia="zh-CN"/>
              </w:rPr>
              <w:t>10.</w:t>
            </w:r>
            <w:r>
              <w:rPr>
                <w:rFonts w:hint="eastAsia" w:ascii="仿宋_GB2312" w:hAnsi="仿宋_GB2312" w:eastAsia="仿宋_GB2312" w:cs="仿宋_GB2312"/>
                <w:i w:val="0"/>
                <w:iCs w:val="0"/>
                <w:caps w:val="0"/>
                <w:color w:val="000000"/>
                <w:spacing w:val="0"/>
                <w:sz w:val="18"/>
                <w:szCs w:val="18"/>
                <w:shd w:val="clear" w:fill="FFFFFF"/>
              </w:rPr>
              <w:t>适时组织开展各类文体活动、捐资助农、助学、红色教育、乡村振兴等公益活动；</w:t>
            </w:r>
            <w:r>
              <w:rPr>
                <w:rFonts w:hint="eastAsia" w:ascii="仿宋_GB2312" w:hAnsi="仿宋_GB2312" w:eastAsia="仿宋_GB2312" w:cs="仿宋_GB2312"/>
                <w:i w:val="0"/>
                <w:iCs w:val="0"/>
                <w:caps w:val="0"/>
                <w:color w:val="000000"/>
                <w:spacing w:val="0"/>
                <w:sz w:val="18"/>
                <w:szCs w:val="18"/>
                <w:shd w:val="clear" w:fill="FFFFFF"/>
                <w:lang w:val="en-US" w:eastAsia="zh-CN"/>
              </w:rPr>
              <w:t>11.</w:t>
            </w:r>
            <w:r>
              <w:rPr>
                <w:rFonts w:hint="eastAsia" w:ascii="仿宋_GB2312" w:hAnsi="仿宋_GB2312" w:eastAsia="仿宋_GB2312" w:cs="仿宋_GB2312"/>
                <w:i w:val="0"/>
                <w:iCs w:val="0"/>
                <w:caps w:val="0"/>
                <w:color w:val="000000"/>
                <w:spacing w:val="0"/>
                <w:sz w:val="18"/>
                <w:szCs w:val="18"/>
                <w:shd w:val="clear" w:fill="FFFFFF"/>
              </w:rPr>
              <w:t>开展与工程造价相关的法律、政策、技术、管理、市场等咨询服务；</w:t>
            </w:r>
            <w:r>
              <w:rPr>
                <w:rFonts w:hint="eastAsia" w:ascii="仿宋_GB2312" w:hAnsi="仿宋_GB2312" w:eastAsia="仿宋_GB2312" w:cs="仿宋_GB2312"/>
                <w:i w:val="0"/>
                <w:iCs w:val="0"/>
                <w:caps w:val="0"/>
                <w:color w:val="000000"/>
                <w:spacing w:val="0"/>
                <w:sz w:val="18"/>
                <w:szCs w:val="18"/>
                <w:shd w:val="clear" w:fill="FFFFFF"/>
                <w:lang w:val="en-US" w:eastAsia="zh-CN"/>
              </w:rPr>
              <w:t>12.</w:t>
            </w:r>
            <w:r>
              <w:rPr>
                <w:rFonts w:hint="eastAsia" w:ascii="仿宋_GB2312" w:hAnsi="仿宋_GB2312" w:eastAsia="仿宋_GB2312" w:cs="仿宋_GB2312"/>
                <w:i w:val="0"/>
                <w:iCs w:val="0"/>
                <w:caps w:val="0"/>
                <w:color w:val="000000"/>
                <w:spacing w:val="0"/>
                <w:sz w:val="18"/>
                <w:szCs w:val="18"/>
                <w:shd w:val="clear" w:fill="FFFFFF"/>
              </w:rPr>
              <w:t>接受会员进行行业自律投诉和对行业主管部门批准受理的本市工程造价咨询行业中执业违规的违规者，实行行业惩戒或申请政府主管部门进行行政处罚</w:t>
            </w:r>
            <w:r>
              <w:rPr>
                <w:rFonts w:hint="eastAsia" w:ascii="仿宋_GB2312" w:hAnsi="仿宋_GB2312" w:eastAsia="仿宋_GB2312" w:cs="仿宋_GB2312"/>
                <w:i w:val="0"/>
                <w:iCs w:val="0"/>
                <w:caps w:val="0"/>
                <w:color w:val="000000"/>
                <w:spacing w:val="0"/>
                <w:sz w:val="18"/>
                <w:szCs w:val="18"/>
                <w:shd w:val="clear" w:fill="FFFFFF"/>
                <w:lang w:eastAsia="zh-CN"/>
              </w:rPr>
              <w:t>。</w:t>
            </w:r>
          </w:p>
        </w:tc>
      </w:tr>
    </w:tbl>
    <w:p w14:paraId="401196EB">
      <w:pPr>
        <w:widowControl/>
        <w:rPr>
          <w:rFonts w:hint="eastAsia"/>
        </w:rPr>
      </w:pPr>
    </w:p>
    <w:sectPr>
      <w:footerReference r:id="rId3" w:type="default"/>
      <w:pgSz w:w="11906" w:h="16838"/>
      <w:pgMar w:top="1240" w:right="1686" w:bottom="1440" w:left="16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1A6DE4-B632-494C-98D1-65189E48BC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3EC2D30-18BB-4D1D-9DB4-A9F7D703CD7C}"/>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1795753C-7DC6-4E08-9C98-08A1A241C148}"/>
  </w:font>
  <w:font w:name="仿宋">
    <w:panose1 w:val="02010609060101010101"/>
    <w:charset w:val="86"/>
    <w:family w:val="auto"/>
    <w:pitch w:val="default"/>
    <w:sig w:usb0="800002BF" w:usb1="38CF7CFA" w:usb2="00000016" w:usb3="00000000" w:csb0="00040001" w:csb1="00000000"/>
    <w:embedRegular r:id="rId4" w:fontKey="{E8FBDF81-96FE-42BD-8CA4-37A2EE04B114}"/>
  </w:font>
  <w:font w:name="微软雅黑">
    <w:panose1 w:val="020B0503020204020204"/>
    <w:charset w:val="86"/>
    <w:family w:val="swiss"/>
    <w:pitch w:val="default"/>
    <w:sig w:usb0="80000287" w:usb1="2ACF3C50" w:usb2="00000016" w:usb3="00000000" w:csb0="0004001F" w:csb1="00000000"/>
    <w:embedRegular r:id="rId5" w:fontKey="{B4F0C5E1-91E9-4016-974A-2CC30E80E8D9}"/>
  </w:font>
  <w:font w:name="仿宋_GB2312">
    <w:panose1 w:val="02010609030101010101"/>
    <w:charset w:val="86"/>
    <w:family w:val="auto"/>
    <w:pitch w:val="default"/>
    <w:sig w:usb0="00000001" w:usb1="080E0000" w:usb2="00000000" w:usb3="00000000" w:csb0="00040000" w:csb1="00000000"/>
    <w:embedRegular r:id="rId6" w:fontKey="{24FC56E2-1EF1-401E-8BA7-1B8DDFCFE65D}"/>
  </w:font>
  <w:font w:name="Helvetica">
    <w:altName w:val="Arial"/>
    <w:panose1 w:val="00000000000000000000"/>
    <w:charset w:val="00"/>
    <w:family w:val="auto"/>
    <w:pitch w:val="default"/>
    <w:sig w:usb0="00000000" w:usb1="00000000" w:usb2="00000000" w:usb3="00000000" w:csb0="00000000" w:csb1="00000000"/>
    <w:embedRegular r:id="rId7" w:fontKey="{C0CE63C8-E7D7-44EC-B703-6A535B068BA9}"/>
  </w:font>
  <w:font w:name="Verdana">
    <w:panose1 w:val="020B0604030504040204"/>
    <w:charset w:val="00"/>
    <w:family w:val="auto"/>
    <w:pitch w:val="default"/>
    <w:sig w:usb0="A00006FF" w:usb1="4000205B" w:usb2="00000010" w:usb3="00000000" w:csb0="2000019F" w:csb1="00000000"/>
    <w:embedRegular r:id="rId8" w:fontKey="{668F4689-8533-49CB-9D11-33DB522E990A}"/>
  </w:font>
  <w:font w:name="KSOF7FC4CF2A">
    <w:panose1 w:val="020B0604020202020204"/>
    <w:charset w:val="00"/>
    <w:family w:val="auto"/>
    <w:pitch w:val="default"/>
    <w:sig w:usb0="00000001" w:usb1="00000000" w:usb2="00000000" w:usb3="00000000" w:csb0="0000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53A36">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472F7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E472F79">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DE9A3E"/>
    <w:multiLevelType w:val="singleLevel"/>
    <w:tmpl w:val="DFDE9A3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yMWNjNDEzNWQ1NGI2YTA2ZTRjMWYzNzA4ZDYwMDIifQ=="/>
  </w:docVars>
  <w:rsids>
    <w:rsidRoot w:val="00542E55"/>
    <w:rsid w:val="002C4449"/>
    <w:rsid w:val="003A0D88"/>
    <w:rsid w:val="00530F2D"/>
    <w:rsid w:val="00542E55"/>
    <w:rsid w:val="005737EE"/>
    <w:rsid w:val="00892A6D"/>
    <w:rsid w:val="00AB1C3A"/>
    <w:rsid w:val="00DA3EA5"/>
    <w:rsid w:val="01066A48"/>
    <w:rsid w:val="0132783D"/>
    <w:rsid w:val="01521C8D"/>
    <w:rsid w:val="02DE5ECF"/>
    <w:rsid w:val="031F3DF1"/>
    <w:rsid w:val="03887BE8"/>
    <w:rsid w:val="040B63E7"/>
    <w:rsid w:val="046E5030"/>
    <w:rsid w:val="04BD1B14"/>
    <w:rsid w:val="04F63DFB"/>
    <w:rsid w:val="05E82BC0"/>
    <w:rsid w:val="07610E7C"/>
    <w:rsid w:val="082C3238"/>
    <w:rsid w:val="087921F6"/>
    <w:rsid w:val="088475FD"/>
    <w:rsid w:val="08850B9A"/>
    <w:rsid w:val="09B01C47"/>
    <w:rsid w:val="0A3B7763"/>
    <w:rsid w:val="0B183F48"/>
    <w:rsid w:val="0BC53CE2"/>
    <w:rsid w:val="0C7358DA"/>
    <w:rsid w:val="0E3167A6"/>
    <w:rsid w:val="10036F74"/>
    <w:rsid w:val="10BE705B"/>
    <w:rsid w:val="11665A0D"/>
    <w:rsid w:val="11884760"/>
    <w:rsid w:val="11D02E86"/>
    <w:rsid w:val="123A0C48"/>
    <w:rsid w:val="138E2216"/>
    <w:rsid w:val="156A35F2"/>
    <w:rsid w:val="16322668"/>
    <w:rsid w:val="16CA07EC"/>
    <w:rsid w:val="17190E2C"/>
    <w:rsid w:val="180427B5"/>
    <w:rsid w:val="18893D8F"/>
    <w:rsid w:val="19A8293B"/>
    <w:rsid w:val="19CA465F"/>
    <w:rsid w:val="1A820319"/>
    <w:rsid w:val="1B6C00C4"/>
    <w:rsid w:val="1BFC2ACA"/>
    <w:rsid w:val="1C0F4EF3"/>
    <w:rsid w:val="1CB82E95"/>
    <w:rsid w:val="1D293D92"/>
    <w:rsid w:val="1DC67833"/>
    <w:rsid w:val="1E124827"/>
    <w:rsid w:val="1E312DB1"/>
    <w:rsid w:val="1F2E38E2"/>
    <w:rsid w:val="1F3E18CF"/>
    <w:rsid w:val="1FAB0A8F"/>
    <w:rsid w:val="208F03B0"/>
    <w:rsid w:val="20C77B4A"/>
    <w:rsid w:val="20DD111C"/>
    <w:rsid w:val="21B5239F"/>
    <w:rsid w:val="21FE759C"/>
    <w:rsid w:val="22A719E1"/>
    <w:rsid w:val="22DC4728"/>
    <w:rsid w:val="23046E34"/>
    <w:rsid w:val="239443CB"/>
    <w:rsid w:val="24CF5CE1"/>
    <w:rsid w:val="255120D8"/>
    <w:rsid w:val="255756D9"/>
    <w:rsid w:val="255D282B"/>
    <w:rsid w:val="264B2FCC"/>
    <w:rsid w:val="26B63D07"/>
    <w:rsid w:val="27003DB6"/>
    <w:rsid w:val="27EB411E"/>
    <w:rsid w:val="28247630"/>
    <w:rsid w:val="2829733C"/>
    <w:rsid w:val="284303FE"/>
    <w:rsid w:val="29B9024C"/>
    <w:rsid w:val="2B29172A"/>
    <w:rsid w:val="2CA64AB8"/>
    <w:rsid w:val="2CC47634"/>
    <w:rsid w:val="2E2B376E"/>
    <w:rsid w:val="2EA32D1A"/>
    <w:rsid w:val="2FDF6F65"/>
    <w:rsid w:val="30E958BB"/>
    <w:rsid w:val="312A2C3B"/>
    <w:rsid w:val="317A6513"/>
    <w:rsid w:val="31EA3699"/>
    <w:rsid w:val="31EE2735"/>
    <w:rsid w:val="32063A42"/>
    <w:rsid w:val="33C63C91"/>
    <w:rsid w:val="341B222F"/>
    <w:rsid w:val="34A264AC"/>
    <w:rsid w:val="35716520"/>
    <w:rsid w:val="35B71AE4"/>
    <w:rsid w:val="35E328D9"/>
    <w:rsid w:val="3639699D"/>
    <w:rsid w:val="36681030"/>
    <w:rsid w:val="36F56D67"/>
    <w:rsid w:val="37117919"/>
    <w:rsid w:val="371D006C"/>
    <w:rsid w:val="375A4E1C"/>
    <w:rsid w:val="37BC1633"/>
    <w:rsid w:val="3A612966"/>
    <w:rsid w:val="3AD849D6"/>
    <w:rsid w:val="3B1B48C3"/>
    <w:rsid w:val="3C3E2F5F"/>
    <w:rsid w:val="3D1912D6"/>
    <w:rsid w:val="3D31661F"/>
    <w:rsid w:val="3D3C3283"/>
    <w:rsid w:val="3DD31485"/>
    <w:rsid w:val="3F277CDA"/>
    <w:rsid w:val="3F964E60"/>
    <w:rsid w:val="405D09DB"/>
    <w:rsid w:val="40BC7B82"/>
    <w:rsid w:val="41586871"/>
    <w:rsid w:val="41B11ADD"/>
    <w:rsid w:val="422B5D33"/>
    <w:rsid w:val="42562684"/>
    <w:rsid w:val="435E6F8B"/>
    <w:rsid w:val="43A713E9"/>
    <w:rsid w:val="43DD12AF"/>
    <w:rsid w:val="43EA649A"/>
    <w:rsid w:val="44784B34"/>
    <w:rsid w:val="44997EE2"/>
    <w:rsid w:val="44DC3315"/>
    <w:rsid w:val="45505AB1"/>
    <w:rsid w:val="4568104C"/>
    <w:rsid w:val="45BB117C"/>
    <w:rsid w:val="45D264C6"/>
    <w:rsid w:val="470B7EE1"/>
    <w:rsid w:val="47723ABC"/>
    <w:rsid w:val="48587156"/>
    <w:rsid w:val="48861F15"/>
    <w:rsid w:val="4A510914"/>
    <w:rsid w:val="4A7D208B"/>
    <w:rsid w:val="4B386DCB"/>
    <w:rsid w:val="4C3A6B73"/>
    <w:rsid w:val="4C5E176C"/>
    <w:rsid w:val="4CA23096"/>
    <w:rsid w:val="4D183358"/>
    <w:rsid w:val="4D9F1383"/>
    <w:rsid w:val="4DDA23BB"/>
    <w:rsid w:val="4E0062C6"/>
    <w:rsid w:val="4E4837C9"/>
    <w:rsid w:val="4E5B174E"/>
    <w:rsid w:val="4EAE5ADB"/>
    <w:rsid w:val="4EDD6607"/>
    <w:rsid w:val="4EE10D00"/>
    <w:rsid w:val="4F626B0C"/>
    <w:rsid w:val="4FD80B7D"/>
    <w:rsid w:val="50C57353"/>
    <w:rsid w:val="50D731F5"/>
    <w:rsid w:val="513B26F0"/>
    <w:rsid w:val="53197A4C"/>
    <w:rsid w:val="538708F0"/>
    <w:rsid w:val="53E90042"/>
    <w:rsid w:val="55157A97"/>
    <w:rsid w:val="561F7505"/>
    <w:rsid w:val="56D24CD3"/>
    <w:rsid w:val="57071A7C"/>
    <w:rsid w:val="573945F7"/>
    <w:rsid w:val="573C40E7"/>
    <w:rsid w:val="57715B3F"/>
    <w:rsid w:val="59CB7673"/>
    <w:rsid w:val="59DB7BE7"/>
    <w:rsid w:val="5AA1498D"/>
    <w:rsid w:val="5B2A76EB"/>
    <w:rsid w:val="5BD30872"/>
    <w:rsid w:val="5C515F3F"/>
    <w:rsid w:val="5CDB3A5A"/>
    <w:rsid w:val="5E002618"/>
    <w:rsid w:val="5E082F75"/>
    <w:rsid w:val="5E8B1BDC"/>
    <w:rsid w:val="5F225970"/>
    <w:rsid w:val="60D761D6"/>
    <w:rsid w:val="613F6CAD"/>
    <w:rsid w:val="616E1341"/>
    <w:rsid w:val="631B2E02"/>
    <w:rsid w:val="637624AB"/>
    <w:rsid w:val="639037F0"/>
    <w:rsid w:val="63C81B5F"/>
    <w:rsid w:val="63CA6B41"/>
    <w:rsid w:val="63CB65D6"/>
    <w:rsid w:val="63CC708B"/>
    <w:rsid w:val="640970FF"/>
    <w:rsid w:val="650E70C3"/>
    <w:rsid w:val="655429F3"/>
    <w:rsid w:val="66285F62"/>
    <w:rsid w:val="66495ED8"/>
    <w:rsid w:val="671B5AC7"/>
    <w:rsid w:val="673E71C8"/>
    <w:rsid w:val="675A27C6"/>
    <w:rsid w:val="67780823"/>
    <w:rsid w:val="689A0C6D"/>
    <w:rsid w:val="68BE541E"/>
    <w:rsid w:val="6A0E1913"/>
    <w:rsid w:val="6A2829D5"/>
    <w:rsid w:val="6AC46471"/>
    <w:rsid w:val="6BBA58AE"/>
    <w:rsid w:val="6C0C3C30"/>
    <w:rsid w:val="6D154D66"/>
    <w:rsid w:val="6D5910F7"/>
    <w:rsid w:val="6D77332B"/>
    <w:rsid w:val="6E3B6556"/>
    <w:rsid w:val="6F315975"/>
    <w:rsid w:val="6FF173C5"/>
    <w:rsid w:val="70130944"/>
    <w:rsid w:val="705A531C"/>
    <w:rsid w:val="7067770A"/>
    <w:rsid w:val="70756248"/>
    <w:rsid w:val="718F6E95"/>
    <w:rsid w:val="719941B8"/>
    <w:rsid w:val="720633EB"/>
    <w:rsid w:val="72CB03A1"/>
    <w:rsid w:val="7300292E"/>
    <w:rsid w:val="73995AC8"/>
    <w:rsid w:val="73FF7999"/>
    <w:rsid w:val="74BB2697"/>
    <w:rsid w:val="74EC2851"/>
    <w:rsid w:val="74EC45FF"/>
    <w:rsid w:val="7568637B"/>
    <w:rsid w:val="761B163F"/>
    <w:rsid w:val="77253DF8"/>
    <w:rsid w:val="77274014"/>
    <w:rsid w:val="77536BB7"/>
    <w:rsid w:val="78C80EDF"/>
    <w:rsid w:val="78FD331E"/>
    <w:rsid w:val="79336CA0"/>
    <w:rsid w:val="793D18CD"/>
    <w:rsid w:val="7A272FAF"/>
    <w:rsid w:val="7A910122"/>
    <w:rsid w:val="7AB67B89"/>
    <w:rsid w:val="7B682606"/>
    <w:rsid w:val="7B963516"/>
    <w:rsid w:val="7BCB31C0"/>
    <w:rsid w:val="7D8E0949"/>
    <w:rsid w:val="7EA321D2"/>
    <w:rsid w:val="7EB919F5"/>
    <w:rsid w:val="7F1E5CFC"/>
    <w:rsid w:val="7F800765"/>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1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autoRedefine/>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autoRedefine/>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11">
    <w:name w:val="Normal Indent"/>
    <w:basedOn w:val="1"/>
    <w:next w:val="1"/>
    <w:qFormat/>
    <w:uiPriority w:val="10"/>
    <w:pPr>
      <w:snapToGrid w:val="0"/>
      <w:spacing w:line="440" w:lineRule="exact"/>
      <w:ind w:left="-21"/>
    </w:pPr>
    <w:rPr>
      <w:rFonts w:ascii="Arial"/>
      <w:color w:val="000000"/>
      <w:sz w:val="28"/>
      <w:szCs w:val="28"/>
    </w:rPr>
  </w:style>
  <w:style w:type="paragraph" w:styleId="12">
    <w:name w:val="Body Text Indent"/>
    <w:basedOn w:val="1"/>
    <w:next w:val="13"/>
    <w:semiHidden/>
    <w:unhideWhenUsed/>
    <w:qFormat/>
    <w:uiPriority w:val="99"/>
    <w:pPr>
      <w:spacing w:after="120"/>
      <w:ind w:left="420" w:leftChars="200"/>
    </w:pPr>
  </w:style>
  <w:style w:type="paragraph" w:styleId="13">
    <w:name w:val="envelope return"/>
    <w:basedOn w:val="1"/>
    <w:autoRedefine/>
    <w:unhideWhenUsed/>
    <w:qFormat/>
    <w:uiPriority w:val="99"/>
    <w:pPr>
      <w:snapToGrid w:val="0"/>
    </w:pPr>
    <w:rPr>
      <w:rFonts w:ascii="等线 Light" w:hAnsi="等线 Light" w:eastAsia="等线 Light" w:cs="Times New Roman"/>
    </w:rPr>
  </w:style>
  <w:style w:type="paragraph" w:styleId="14">
    <w:name w:val="footer"/>
    <w:basedOn w:val="1"/>
    <w:semiHidden/>
    <w:unhideWhenUsed/>
    <w:uiPriority w:val="99"/>
    <w:pPr>
      <w:tabs>
        <w:tab w:val="center" w:pos="4153"/>
        <w:tab w:val="right" w:pos="8306"/>
      </w:tabs>
      <w:snapToGrid w:val="0"/>
      <w:jc w:val="left"/>
    </w:pPr>
    <w:rPr>
      <w:sz w:val="18"/>
    </w:rPr>
  </w:style>
  <w:style w:type="paragraph" w:styleId="1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Subtitle"/>
    <w:basedOn w:val="1"/>
    <w:next w:val="1"/>
    <w:link w:val="35"/>
    <w:autoRedefine/>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8">
    <w:name w:val="Title"/>
    <w:basedOn w:val="1"/>
    <w:next w:val="1"/>
    <w:link w:val="34"/>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Body Text First Indent 2"/>
    <w:basedOn w:val="12"/>
    <w:next w:val="1"/>
    <w:autoRedefine/>
    <w:semiHidden/>
    <w:unhideWhenUsed/>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semiHidden/>
    <w:unhideWhenUsed/>
    <w:qFormat/>
    <w:uiPriority w:val="99"/>
    <w:rPr>
      <w:color w:val="0000FF"/>
      <w:u w:val="single"/>
    </w:rPr>
  </w:style>
  <w:style w:type="character" w:customStyle="1" w:styleId="25">
    <w:name w:val="标题 1 字符"/>
    <w:basedOn w:val="22"/>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2"/>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2"/>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2"/>
    <w:link w:val="5"/>
    <w:autoRedefine/>
    <w:semiHidden/>
    <w:qFormat/>
    <w:uiPriority w:val="9"/>
    <w:rPr>
      <w:rFonts w:cstheme="majorBidi"/>
      <w:color w:val="104862" w:themeColor="accent1" w:themeShade="BF"/>
      <w:sz w:val="28"/>
      <w:szCs w:val="28"/>
    </w:rPr>
  </w:style>
  <w:style w:type="character" w:customStyle="1" w:styleId="29">
    <w:name w:val="标题 5 字符"/>
    <w:basedOn w:val="22"/>
    <w:link w:val="6"/>
    <w:autoRedefine/>
    <w:semiHidden/>
    <w:qFormat/>
    <w:uiPriority w:val="9"/>
    <w:rPr>
      <w:rFonts w:cstheme="majorBidi"/>
      <w:color w:val="104862" w:themeColor="accent1" w:themeShade="BF"/>
      <w:sz w:val="24"/>
      <w:szCs w:val="24"/>
    </w:rPr>
  </w:style>
  <w:style w:type="character" w:customStyle="1" w:styleId="30">
    <w:name w:val="标题 6 字符"/>
    <w:basedOn w:val="22"/>
    <w:link w:val="7"/>
    <w:autoRedefine/>
    <w:semiHidden/>
    <w:qFormat/>
    <w:uiPriority w:val="9"/>
    <w:rPr>
      <w:rFonts w:cstheme="majorBidi"/>
      <w:b/>
      <w:bCs/>
      <w:color w:val="104862" w:themeColor="accent1" w:themeShade="BF"/>
    </w:rPr>
  </w:style>
  <w:style w:type="character" w:customStyle="1" w:styleId="31">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2"/>
    <w:link w:val="18"/>
    <w:autoRedefine/>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2"/>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2"/>
    <w:autoRedefine/>
    <w:qFormat/>
    <w:uiPriority w:val="21"/>
    <w:rPr>
      <w:i/>
      <w:iCs/>
      <w:color w:val="104862" w:themeColor="accent1" w:themeShade="BF"/>
    </w:rPr>
  </w:style>
  <w:style w:type="paragraph" w:styleId="40">
    <w:name w:val="Intense Quote"/>
    <w:basedOn w:val="1"/>
    <w:next w:val="1"/>
    <w:link w:val="41"/>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2"/>
    <w:link w:val="40"/>
    <w:autoRedefine/>
    <w:qFormat/>
    <w:uiPriority w:val="30"/>
    <w:rPr>
      <w:i/>
      <w:iCs/>
      <w:color w:val="104862" w:themeColor="accent1" w:themeShade="BF"/>
    </w:rPr>
  </w:style>
  <w:style w:type="character" w:customStyle="1" w:styleId="42">
    <w:name w:val="Intense Reference"/>
    <w:basedOn w:val="22"/>
    <w:autoRedefine/>
    <w:qFormat/>
    <w:uiPriority w:val="32"/>
    <w:rPr>
      <w:b/>
      <w:bCs/>
      <w:smallCaps/>
      <w:color w:val="104862" w:themeColor="accent1" w:themeShade="BF"/>
      <w:spacing w:val="5"/>
    </w:rPr>
  </w:style>
  <w:style w:type="table" w:customStyle="1" w:styleId="43">
    <w:name w:val="网格型1"/>
    <w:basedOn w:val="20"/>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4555;&#36895;&#35775;&#38382;\&#26700;&#38754;\&#21512;&#32933;&#24066;&#36896;&#20215;&#21672;&#35810;&#34892;&#19994;&#21457;&#23637;&#29616;&#29366;\&#37325;&#22823;&#39033;&#3044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50"/>
              <a:t>造价咨询公司数量：家</a:t>
            </a:r>
            <a:endParaRPr sz="105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造价咨询公司数量：家</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2016年</c:v>
                </c:pt>
                <c:pt idx="1">
                  <c:v>2017年</c:v>
                </c:pt>
                <c:pt idx="2">
                  <c:v>2018年</c:v>
                </c:pt>
                <c:pt idx="3">
                  <c:v>2019年</c:v>
                </c:pt>
                <c:pt idx="4">
                  <c:v>2020年</c:v>
                </c:pt>
                <c:pt idx="5">
                  <c:v>2021年</c:v>
                </c:pt>
                <c:pt idx="6">
                  <c:v>2022年</c:v>
                </c:pt>
                <c:pt idx="7">
                  <c:v>2023年</c:v>
                </c:pt>
              </c:strCache>
            </c:strRef>
          </c:cat>
          <c:val>
            <c:numRef>
              <c:f>Sheet1!$B$2:$B$9</c:f>
              <c:numCache>
                <c:formatCode>General</c:formatCode>
                <c:ptCount val="8"/>
                <c:pt idx="0">
                  <c:v>7505</c:v>
                </c:pt>
                <c:pt idx="1">
                  <c:v>7800</c:v>
                </c:pt>
                <c:pt idx="2">
                  <c:v>8139</c:v>
                </c:pt>
                <c:pt idx="3">
                  <c:v>8194</c:v>
                </c:pt>
                <c:pt idx="4">
                  <c:v>10489</c:v>
                </c:pt>
                <c:pt idx="5">
                  <c:v>11398</c:v>
                </c:pt>
                <c:pt idx="6">
                  <c:v>14069</c:v>
                </c:pt>
                <c:pt idx="7">
                  <c:v>15284</c:v>
                </c:pt>
              </c:numCache>
            </c:numRef>
          </c:val>
        </c:ser>
        <c:dLbls>
          <c:showLegendKey val="0"/>
          <c:showVal val="0"/>
          <c:showCatName val="0"/>
          <c:showSerName val="0"/>
          <c:showPercent val="0"/>
          <c:showBubbleSize val="0"/>
        </c:dLbls>
        <c:gapWidth val="219"/>
        <c:overlap val="-27"/>
        <c:axId val="933770800"/>
        <c:axId val="933778960"/>
      </c:barChart>
      <c:catAx>
        <c:axId val="93377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3778960"/>
        <c:crosses val="autoZero"/>
        <c:auto val="1"/>
        <c:lblAlgn val="ctr"/>
        <c:lblOffset val="100"/>
        <c:noMultiLvlLbl val="0"/>
      </c:catAx>
      <c:valAx>
        <c:axId val="93377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37708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e7fbdd-61d6-4d2c-be2a-c44d774b38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[重大项目.xlsx]Sheet2!$E$4</c:f>
              <c:strCache>
                <c:ptCount val="1"/>
                <c:pt idx="0">
                  <c:v>2022年</c:v>
                </c:pt>
              </c:strCache>
            </c:strRef>
          </c:tx>
          <c:spPr>
            <a:gradFill>
              <a:gsLst>
                <a:gs pos="70000">
                  <a:schemeClr val="accent1">
                    <a:lumMod val="75000"/>
                  </a:schemeClr>
                </a:gs>
                <a:gs pos="100000">
                  <a:schemeClr val="accent1">
                    <a:lumMod val="75000"/>
                  </a:schemeClr>
                </a:gs>
                <a:gs pos="0">
                  <a:schemeClr val="accent1">
                    <a:lumMod val="20000"/>
                    <a:lumOff val="80000"/>
                  </a:schemeClr>
                </a:gs>
                <a:gs pos="15000">
                  <a:schemeClr val="accent1"/>
                </a:gs>
                <a:gs pos="67000">
                  <a:schemeClr val="accent1"/>
                </a:gs>
              </a:gsLst>
              <a:lin ang="5400000" scaled="0"/>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ysClr val="windowText" lastClr="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[重大项目.xlsx]Sheet2!$F$3:$G$3</c:f>
              <c:strCache>
                <c:ptCount val="2"/>
                <c:pt idx="0">
                  <c:v>备案项目（个）</c:v>
                </c:pt>
                <c:pt idx="1">
                  <c:v>总金额（亿元）</c:v>
                </c:pt>
              </c:strCache>
            </c:strRef>
          </c:cat>
          <c:val>
            <c:numRef>
              <c:f>[重大项目.xlsx]Sheet2!$F$4:$G$4</c:f>
              <c:numCache>
                <c:formatCode>General</c:formatCode>
                <c:ptCount val="2"/>
                <c:pt idx="0">
                  <c:v>740</c:v>
                </c:pt>
                <c:pt idx="1">
                  <c:v>862.3</c:v>
                </c:pt>
              </c:numCache>
            </c:numRef>
          </c:val>
        </c:ser>
        <c:ser>
          <c:idx val="1"/>
          <c:order val="1"/>
          <c:tx>
            <c:strRef>
              <c:f>[重大项目.xlsx]Sheet2!$E$5</c:f>
              <c:strCache>
                <c:ptCount val="1"/>
                <c:pt idx="0">
                  <c:v>2023年</c:v>
                </c:pt>
              </c:strCache>
            </c:strRef>
          </c:tx>
          <c:spPr>
            <a:gradFill>
              <a:gsLst>
                <a:gs pos="70000">
                  <a:schemeClr val="accent2">
                    <a:lumMod val="75000"/>
                  </a:schemeClr>
                </a:gs>
                <a:gs pos="100000">
                  <a:schemeClr val="accent2">
                    <a:lumMod val="75000"/>
                  </a:schemeClr>
                </a:gs>
                <a:gs pos="0">
                  <a:schemeClr val="accent2">
                    <a:lumMod val="20000"/>
                    <a:lumOff val="80000"/>
                  </a:schemeClr>
                </a:gs>
                <a:gs pos="15000">
                  <a:schemeClr val="accent2"/>
                </a:gs>
                <a:gs pos="67000">
                  <a:schemeClr val="accent2"/>
                </a:gs>
              </a:gsLst>
              <a:lin ang="5400000" scaled="0"/>
            </a:gra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ysClr val="windowText" lastClr="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[重大项目.xlsx]Sheet2!$F$3:$G$3</c:f>
              <c:strCache>
                <c:ptCount val="2"/>
                <c:pt idx="0">
                  <c:v>备案项目（个）</c:v>
                </c:pt>
                <c:pt idx="1">
                  <c:v>总金额（亿元）</c:v>
                </c:pt>
              </c:strCache>
            </c:strRef>
          </c:cat>
          <c:val>
            <c:numRef>
              <c:f>[重大项目.xlsx]Sheet2!$F$5:$G$5</c:f>
              <c:numCache>
                <c:formatCode>General</c:formatCode>
                <c:ptCount val="2"/>
                <c:pt idx="0">
                  <c:v>672</c:v>
                </c:pt>
                <c:pt idx="1">
                  <c:v>823.57</c:v>
                </c:pt>
              </c:numCache>
            </c:numRef>
          </c:val>
        </c:ser>
        <c:dLbls>
          <c:showLegendKey val="0"/>
          <c:showVal val="1"/>
          <c:showCatName val="0"/>
          <c:showSerName val="0"/>
          <c:showPercent val="0"/>
          <c:showBubbleSize val="0"/>
        </c:dLbls>
        <c:gapWidth val="117"/>
        <c:overlap val="-6"/>
        <c:axId val="906304477"/>
        <c:axId val="354684328"/>
      </c:barChart>
      <c:catAx>
        <c:axId val="906304477"/>
        <c:scaling>
          <c:orientation val="minMax"/>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0" vertOverflow="ellipsis" vert="horz" wrap="square" anchor="ctr" anchorCtr="1" forceAA="0"/>
          <a:lstStyle/>
          <a:p>
            <a:pPr>
              <a:defRPr lang="zh-CN" sz="900" b="1" i="0" u="none" strike="noStrike" kern="1200" baseline="0">
                <a:solidFill>
                  <a:sysClr val="windowText" lastClr="000000"/>
                </a:solidFill>
                <a:latin typeface="+mn-lt"/>
                <a:ea typeface="+mn-ea"/>
                <a:cs typeface="+mn-cs"/>
              </a:defRPr>
            </a:pPr>
          </a:p>
        </c:txPr>
        <c:crossAx val="354684328"/>
        <c:crosses val="autoZero"/>
        <c:auto val="1"/>
        <c:lblAlgn val="ctr"/>
        <c:lblOffset val="100"/>
        <c:noMultiLvlLbl val="0"/>
      </c:catAx>
      <c:valAx>
        <c:axId val="354684328"/>
        <c:scaling>
          <c:orientation val="minMax"/>
        </c:scaling>
        <c:delete val="0"/>
        <c:axPos val="b"/>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1" i="0" u="none" strike="noStrike" kern="1200" baseline="0">
                <a:solidFill>
                  <a:sysClr val="windowText" lastClr="000000"/>
                </a:solidFill>
                <a:latin typeface="+mn-lt"/>
                <a:ea typeface="+mn-ea"/>
                <a:cs typeface="+mn-cs"/>
              </a:defRPr>
            </a:pPr>
          </a:p>
        </c:txPr>
        <c:crossAx val="906304477"/>
        <c:crosses val="autoZero"/>
        <c:crossBetween val="between"/>
      </c:valAx>
      <c:spPr>
        <a:noFill/>
        <a:ln>
          <a:noFill/>
        </a:ln>
        <a:effectLst/>
      </c:spPr>
    </c:plotArea>
    <c:legend>
      <c:legendPos val="r"/>
      <c:legendEntry>
        <c:idx val="0"/>
        <c:txPr>
          <a:bodyPr rot="0" spcFirstLastPara="0" vertOverflow="ellipsis" vert="horz" wrap="square" anchor="ctr" anchorCtr="1"/>
          <a:lstStyle/>
          <a:p>
            <a:pPr>
              <a:defRPr lang="zh-CN" sz="900" b="1"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ysClr val="windowText" lastClr="000000"/>
                </a:solidFill>
                <a:latin typeface="+mn-lt"/>
                <a:ea typeface="+mn-ea"/>
                <a:cs typeface="+mn-cs"/>
              </a:defRPr>
            </a:pPr>
          </a:p>
        </c:txPr>
      </c:legendEntry>
      <c:layout/>
      <c:overlay val="0"/>
      <c:spPr>
        <a:noFill/>
        <a:ln>
          <a:noFill/>
        </a:ln>
        <a:effectLst/>
      </c:spPr>
      <c:txPr>
        <a:bodyPr rot="0" spcFirstLastPara="0" vertOverflow="ellipsis" vert="horz" wrap="square" anchor="ctr" anchorCtr="1" forceAA="0"/>
        <a:lstStyle/>
        <a:p>
          <a:pPr>
            <a:defRPr lang="zh-CN" sz="900" b="1"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721250ce-7216-488f-b9b1-c02acc890918}"/>
      </c:ext>
    </c:extLst>
  </c:chart>
  <c:spPr>
    <a:solidFill>
      <a:schemeClr val="bg1"/>
    </a:solidFill>
    <a:ln w="9525" cap="flat" cmpd="sng" algn="ctr">
      <a:noFill/>
      <a:round/>
    </a:ln>
    <a:effectLst/>
  </c:spPr>
  <c:txPr>
    <a:bodyPr/>
    <a:lstStyle/>
    <a:p>
      <a:pPr>
        <a:defRPr lang="zh-CN" b="1">
          <a:solidFill>
            <a:sysClr val="windowText" lastClr="000000"/>
          </a:solidFill>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14235</Words>
  <Characters>14606</Characters>
  <Lines>53</Lines>
  <Paragraphs>15</Paragraphs>
  <TotalTime>3</TotalTime>
  <ScaleCrop>false</ScaleCrop>
  <LinksUpToDate>false</LinksUpToDate>
  <CharactersWithSpaces>14622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2024-08-28T00:36:00Z</dcterms:created>
  <dc:creator>landscape xu</dc:creator>
  <cp:lastModifiedBy>造价协会</cp:lastModifiedBy>
  <dcterms:modified xsi:type="dcterms:W3CDTF">2026-09-20T07:18:17Z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F08667864C3E4106A9557FAA1C559ADE_13</vt:lpwstr>
  </property>
  <property fmtid="{D5CDD505-2E9C-101B-9397-08002B2CF9AE}" pid="4" name="KSOTemplateDocerSaveRecord">
    <vt:lpwstr>eyJoZGlkIjoiMWMzZDZiODY5N2Q2ZjY5ZDdlNjg3MWI5ZmMyNDYyMjciLCJ1c2VySWQiOiIxNTc3NjMyMTE2In0=</vt:lpwstr>
  </property>
</Properties>
</file>