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8CC8E">
      <w:pPr>
        <w:pStyle w:val="2"/>
        <w:keepNext w:val="0"/>
        <w:keepLines w:val="0"/>
        <w:widowControl/>
        <w:suppressLineNumbers w:val="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合肥市建设工程造价协会业务接待管理制度</w:t>
      </w:r>
    </w:p>
    <w:p w14:paraId="2DCA8E5E">
      <w:pPr>
        <w:pStyle w:val="3"/>
        <w:keepNext w:val="0"/>
        <w:keepLines w:val="0"/>
        <w:widowControl/>
        <w:suppressLineNumbers w:val="0"/>
        <w:spacing w:beforeAutospacing="0" w:afterAutospacing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第一章 总则</w:t>
      </w:r>
    </w:p>
    <w:p w14:paraId="748039DC">
      <w:pPr>
        <w:pStyle w:val="4"/>
        <w:keepNext w:val="0"/>
        <w:keepLines w:val="0"/>
        <w:widowControl/>
        <w:suppressLineNumbers w:val="0"/>
        <w:spacing w:beforeAutospacing="0" w:afterAutospacing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第一条 目的</w:t>
      </w:r>
    </w:p>
    <w:p w14:paraId="7BF20145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为规范协会业务接待工作，统一接待标准，控制接待成本，提升接待服务质量与效率，保障协会各项业务活动有序开展，树立协会良好形象，结合协会实际情况，制定本制度。</w:t>
      </w:r>
    </w:p>
    <w:p w14:paraId="028D2C5D">
      <w:pPr>
        <w:pStyle w:val="4"/>
        <w:keepNext w:val="0"/>
        <w:keepLines w:val="0"/>
        <w:widowControl/>
        <w:suppressLineNumbers w:val="0"/>
        <w:spacing w:beforeAutospacing="0" w:afterAutospacing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第二条 适用范围</w:t>
      </w:r>
    </w:p>
    <w:p w14:paraId="020FE33D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本制度适用于协会因业务开展需要，接待国内外政府部门、企事业单位、行业组织、科研机构等相关单位及个人的活动，包括考察调研、合作洽谈、会议交流、项目对接等各类业务接待场景。</w:t>
      </w:r>
    </w:p>
    <w:p w14:paraId="40CC30E0">
      <w:pPr>
        <w:pStyle w:val="4"/>
        <w:keepNext w:val="0"/>
        <w:keepLines w:val="0"/>
        <w:widowControl/>
        <w:suppressLineNumbers w:val="0"/>
        <w:spacing w:beforeAutospacing="0" w:afterAutospacing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第三条 接待原则</w:t>
      </w:r>
    </w:p>
    <w:p w14:paraId="227A0A6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合规性原则</w:t>
      </w:r>
      <w:r>
        <w:rPr>
          <w:rFonts w:hint="eastAsia" w:ascii="仿宋_GB2312" w:hAnsi="仿宋_GB2312" w:eastAsia="仿宋_GB2312" w:cs="仿宋_GB2312"/>
          <w:sz w:val="28"/>
          <w:szCs w:val="28"/>
        </w:rPr>
        <w:t>：接待工作需严格遵守国家法律法规、协会章程及财务管理制度，严禁超范围、超标准接待，杜绝违规违纪行为。</w:t>
      </w:r>
    </w:p>
    <w:p w14:paraId="50FE0D7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必要性原则</w:t>
      </w:r>
      <w:r>
        <w:rPr>
          <w:rFonts w:hint="eastAsia" w:ascii="仿宋_GB2312" w:hAnsi="仿宋_GB2312" w:eastAsia="仿宋_GB2312" w:cs="仿宋_GB2312"/>
          <w:sz w:val="28"/>
          <w:szCs w:val="28"/>
        </w:rPr>
        <w:t>：接待活动需与协会业务紧密相关，确有必要开展，避免无实质内容、无明确目的的接待，减少不必要的资源消耗。</w:t>
      </w:r>
    </w:p>
    <w:p w14:paraId="72D70E6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节约性原则</w:t>
      </w:r>
      <w:r>
        <w:rPr>
          <w:rFonts w:hint="eastAsia" w:ascii="仿宋_GB2312" w:hAnsi="仿宋_GB2312" w:eastAsia="仿宋_GB2312" w:cs="仿宋_GB2312"/>
          <w:sz w:val="28"/>
          <w:szCs w:val="28"/>
        </w:rPr>
        <w:t>：坚持厉行节约、反对浪费，合理安排接待资源，在保证接待效果的前提下，严格控制接待费用，降低协会运营成本。</w:t>
      </w:r>
    </w:p>
    <w:p w14:paraId="7E01606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礼仪性原则</w:t>
      </w:r>
      <w:r>
        <w:rPr>
          <w:rFonts w:hint="eastAsia" w:ascii="仿宋_GB2312" w:hAnsi="仿宋_GB2312" w:eastAsia="仿宋_GB2312" w:cs="仿宋_GB2312"/>
          <w:sz w:val="28"/>
          <w:szCs w:val="28"/>
        </w:rPr>
        <w:t>：接待过程中需注重礼仪规范，展现协会工作人员的专业素养与良好风貌，尊重接待对象的文化习俗与个人习惯，营造友好、和谐的接待氛围。</w:t>
      </w:r>
    </w:p>
    <w:p w14:paraId="596F267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实效性原则</w:t>
      </w:r>
      <w:r>
        <w:rPr>
          <w:rFonts w:hint="eastAsia" w:ascii="仿宋_GB2312" w:hAnsi="仿宋_GB2312" w:eastAsia="仿宋_GB2312" w:cs="仿宋_GB2312"/>
          <w:sz w:val="28"/>
          <w:szCs w:val="28"/>
        </w:rPr>
        <w:t>：围绕接待目的开展工作，明确接待重点，确保接待活动高效推进，切实解决业务问题、促进合作达成或实现信息交流共享。</w:t>
      </w:r>
    </w:p>
    <w:p w14:paraId="7BC79098">
      <w:pPr>
        <w:pStyle w:val="3"/>
        <w:keepNext w:val="0"/>
        <w:keepLines w:val="0"/>
        <w:widowControl/>
        <w:suppressLineNumbers w:val="0"/>
        <w:spacing w:beforeAutospacing="0" w:afterAutospacing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第二章 接待管理职责</w:t>
      </w:r>
    </w:p>
    <w:p w14:paraId="49016D0D">
      <w:pPr>
        <w:pStyle w:val="4"/>
        <w:keepNext w:val="0"/>
        <w:keepLines w:val="0"/>
        <w:widowControl/>
        <w:suppressLineNumbers w:val="0"/>
        <w:spacing w:beforeAutospacing="0" w:afterAutospacing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第四条 协会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秘书处及</w:t>
      </w:r>
      <w:r>
        <w:rPr>
          <w:rFonts w:hint="eastAsia" w:ascii="仿宋_GB2312" w:hAnsi="仿宋_GB2312" w:eastAsia="仿宋_GB2312" w:cs="仿宋_GB2312"/>
          <w:sz w:val="28"/>
          <w:szCs w:val="28"/>
        </w:rPr>
        <w:t>办公室职责</w:t>
      </w:r>
    </w:p>
    <w:p w14:paraId="6E71457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1、秘书处</w:t>
      </w:r>
      <w:r>
        <w:rPr>
          <w:rFonts w:hint="eastAsia" w:ascii="仿宋_GB2312" w:hAnsi="仿宋_GB2312" w:eastAsia="仿宋_GB2312" w:cs="仿宋_GB2312"/>
          <w:sz w:val="28"/>
          <w:szCs w:val="28"/>
        </w:rPr>
        <w:t>负责本制度的制定、修订与解释，监督制度的执行情况；</w:t>
      </w:r>
    </w:p>
    <w:p w14:paraId="1163F2A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2、办公室</w:t>
      </w:r>
      <w:r>
        <w:rPr>
          <w:rFonts w:hint="eastAsia" w:ascii="仿宋_GB2312" w:hAnsi="仿宋_GB2312" w:eastAsia="仿宋_GB2312" w:cs="仿宋_GB2312"/>
          <w:sz w:val="28"/>
          <w:szCs w:val="28"/>
        </w:rPr>
        <w:t>统筹协调协会重大业务接待活动，制定接待方案，对接接待资源（如场地、车辆、住宿等）；</w:t>
      </w:r>
    </w:p>
    <w:p w14:paraId="537B881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3、秘书处</w:t>
      </w:r>
      <w:r>
        <w:rPr>
          <w:rFonts w:hint="eastAsia" w:ascii="仿宋_GB2312" w:hAnsi="仿宋_GB2312" w:eastAsia="仿宋_GB2312" w:cs="仿宋_GB2312"/>
          <w:sz w:val="28"/>
          <w:szCs w:val="28"/>
        </w:rPr>
        <w:t>负责接待费用的审核、报销管理，建立接待费用台账，定期统计与分析接待费用使用情况；</w:t>
      </w:r>
    </w:p>
    <w:p w14:paraId="153EB63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4、办公室</w:t>
      </w:r>
      <w:r>
        <w:rPr>
          <w:rFonts w:hint="eastAsia" w:ascii="仿宋_GB2312" w:hAnsi="仿宋_GB2312" w:eastAsia="仿宋_GB2312" w:cs="仿宋_GB2312"/>
          <w:sz w:val="28"/>
          <w:szCs w:val="28"/>
        </w:rPr>
        <w:t>组织开展接待人员礼仪、业务知识培训，提升接待人员综合素质；</w:t>
      </w:r>
    </w:p>
    <w:p w14:paraId="556C131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5、办公室应</w:t>
      </w:r>
      <w:r>
        <w:rPr>
          <w:rFonts w:hint="eastAsia" w:ascii="仿宋_GB2312" w:hAnsi="仿宋_GB2312" w:eastAsia="仿宋_GB2312" w:cs="仿宋_GB2312"/>
          <w:sz w:val="28"/>
          <w:szCs w:val="28"/>
        </w:rPr>
        <w:t>收集接待对象的反馈意见，总结接待工作经验，持续优化接待服务流程。</w:t>
      </w:r>
    </w:p>
    <w:p w14:paraId="12C9182E">
      <w:pPr>
        <w:pStyle w:val="4"/>
        <w:keepNext w:val="0"/>
        <w:keepLines w:val="0"/>
        <w:widowControl/>
        <w:suppressLineNumbers w:val="0"/>
        <w:spacing w:beforeAutospacing="0" w:afterAutospacing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第五条 业务部门职责</w:t>
      </w:r>
    </w:p>
    <w:p w14:paraId="350B38B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根据业务需求，提前向协会办公室提出接待申请，明确接待对象、目的、时间、人数、主要行程等信息；</w:t>
      </w:r>
    </w:p>
    <w:p w14:paraId="176E261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</w:rPr>
        <w:t>负责对接接待对象，确认详细需求（如饮食禁忌、行程调整等），提供与业务相关的资料与支持；</w:t>
      </w:r>
    </w:p>
    <w:p w14:paraId="578C32A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</w:rPr>
        <w:t>安排专人负责接待过程中的业务沟通、引导等工作，确保接待活动按计划推进；</w:t>
      </w:r>
    </w:p>
    <w:p w14:paraId="4B6F52B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28"/>
          <w:szCs w:val="28"/>
        </w:rPr>
        <w:t>接待结束后，及时向协会办公室反馈接待情况，协助整理接待相关资料。</w:t>
      </w:r>
    </w:p>
    <w:p w14:paraId="1FB9A4A1">
      <w:pPr>
        <w:pStyle w:val="3"/>
        <w:keepNext w:val="0"/>
        <w:keepLines w:val="0"/>
        <w:widowControl/>
        <w:suppressLineNumbers w:val="0"/>
        <w:spacing w:beforeAutospacing="0" w:afterAutospacing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第三章 接待流程</w:t>
      </w:r>
    </w:p>
    <w:p w14:paraId="55EFC9C8">
      <w:pPr>
        <w:pStyle w:val="4"/>
        <w:keepNext w:val="0"/>
        <w:keepLines w:val="0"/>
        <w:widowControl/>
        <w:suppressLineNumbers w:val="0"/>
        <w:spacing w:beforeAutospacing="0" w:afterAutospacing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第六条 接待申请</w:t>
      </w:r>
    </w:p>
    <w:p w14:paraId="29F8603B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业务部门需在接待活动开展前不少于5个工作日，填写《协会业务接待申请表》（附件 1），明确接待对象名称、人数、职务、接待目的、接待时间、预计行程、费用预算等信息，经部门负责人审核后，报协会办公室审批。对于重大接待活动（如接待省部级及以上领导、国外重要代表团等），需经协会负责人审批。</w:t>
      </w:r>
    </w:p>
    <w:p w14:paraId="7DD4BC36">
      <w:pPr>
        <w:pStyle w:val="4"/>
        <w:keepNext w:val="0"/>
        <w:keepLines w:val="0"/>
        <w:widowControl/>
        <w:suppressLineNumbers w:val="0"/>
        <w:spacing w:beforeAutospacing="0" w:afterAutospacing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第七条 接待方案制定</w:t>
      </w:r>
    </w:p>
    <w:p w14:paraId="3E577940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协会办公室收到审批通过的《协会业务接待申请表》后，会同业务部门制定详细的接待方案，内容包括接待人员安排、行程安排（含会议、考察、用餐、住宿等环节）、费用预算明细、应急保障措施等。接待方案需经业务部门负责人、协会办公室负责人确认，重大接待方案需报协会负责人审批。</w:t>
      </w:r>
    </w:p>
    <w:p w14:paraId="726733D1">
      <w:pPr>
        <w:pStyle w:val="4"/>
        <w:keepNext w:val="0"/>
        <w:keepLines w:val="0"/>
        <w:widowControl/>
        <w:suppressLineNumbers w:val="0"/>
        <w:spacing w:beforeAutospacing="0" w:afterAutospacing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第八条 接待准备</w:t>
      </w:r>
    </w:p>
    <w:p w14:paraId="33F9E27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人员准备：明确主接待人、陪同人员及各环节负责人，确保接待人员熟悉接待方案、业务内容及礼仪规范；</w:t>
      </w:r>
    </w:p>
    <w:p w14:paraId="69B8F2B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</w:rPr>
        <w:t>物资与场地准备：根据接待需求，准备相关业务资料、宣传材料、会议用品等；如需使用会议场地、考察场地等，提前与相关单位沟通确认，做好场地布置与设备调试；</w:t>
      </w:r>
    </w:p>
    <w:p w14:paraId="748E9FC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</w:rPr>
        <w:t>住宿与交通安排：如需为接待对象安排住宿，选择符合标准的酒店，提前预订并告知接待对象住宿相关信息；如需安排交通，根据接待对象人数与行程，合理调配车辆或预订交通工具，确保交通顺畅；</w:t>
      </w:r>
    </w:p>
    <w:p w14:paraId="464D09C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28"/>
          <w:szCs w:val="28"/>
        </w:rPr>
        <w:t>用餐安排：根据接待对象饮食习惯与禁忌，选择符合标准的用餐地点，提前预订餐位，明确用餐时间与人数。</w:t>
      </w:r>
    </w:p>
    <w:p w14:paraId="1D3CDE79">
      <w:pPr>
        <w:pStyle w:val="4"/>
        <w:keepNext w:val="0"/>
        <w:keepLines w:val="0"/>
        <w:widowControl/>
        <w:suppressLineNumbers w:val="0"/>
        <w:spacing w:beforeAutospacing="0" w:afterAutospacing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第九条 接待实施</w:t>
      </w:r>
    </w:p>
    <w:p w14:paraId="707A06D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接待人员需提前到达接待地点（如机场、车站、协会办公地等），做好迎接准备，主动向接待对象问好，介绍接待安排；</w:t>
      </w:r>
    </w:p>
    <w:p w14:paraId="2ABA83E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</w:rPr>
        <w:t>接待过程中，严格按照接待方案执行，及时与接待对象沟通，了解其需求与意见，灵活调整行程（如需调整，需经业务部门负责人与协会办公室同意）；</w:t>
      </w:r>
    </w:p>
    <w:p w14:paraId="0D6B00A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</w:rPr>
        <w:t>会议、考察等业务环节，陪同人员需做好引导、讲解与记录工作，确保业务沟通高效、深入；</w:t>
      </w:r>
    </w:p>
    <w:p w14:paraId="086C02A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28"/>
          <w:szCs w:val="28"/>
        </w:rPr>
        <w:t>用餐、住宿等服务环节，及时协调解决接待对象遇到的问题，保障接待对象的舒适与便利；</w:t>
      </w:r>
    </w:p>
    <w:p w14:paraId="629DD3F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sz w:val="28"/>
          <w:szCs w:val="28"/>
        </w:rPr>
        <w:t>接待过程中，如遇突发情况（如接待对象身体不适、行程受阻等），接待人员需立即启动应急保障措施，及时向协会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秘书处</w:t>
      </w:r>
      <w:r>
        <w:rPr>
          <w:rFonts w:hint="eastAsia" w:ascii="仿宋_GB2312" w:hAnsi="仿宋_GB2312" w:eastAsia="仿宋_GB2312" w:cs="仿宋_GB2312"/>
          <w:sz w:val="28"/>
          <w:szCs w:val="28"/>
        </w:rPr>
        <w:t>与协会负责人汇报，妥善处理。</w:t>
      </w:r>
    </w:p>
    <w:p w14:paraId="1D0AC9CD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第十条 接待收尾</w:t>
      </w:r>
    </w:p>
    <w:p w14:paraId="528A839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接待活动结束后，接待人员需送别接待对象，感谢其到访，并做好后续沟通的衔接（如发送感谢函、跟进业务事项等）；</w:t>
      </w:r>
    </w:p>
    <w:p w14:paraId="54CD64D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</w:rPr>
        <w:t>业务部门需在接待结束后1 个工作日内，整理接待过程中的会议纪要、照片、视频等资料，报协会办公室存档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撰写宣传文稿报部门负责任人审核经由协会负责人审批后发布</w:t>
      </w:r>
      <w:r>
        <w:rPr>
          <w:rFonts w:hint="eastAsia" w:ascii="仿宋_GB2312" w:hAnsi="仿宋_GB2312" w:eastAsia="仿宋_GB2312" w:cs="仿宋_GB2312"/>
          <w:sz w:val="28"/>
          <w:szCs w:val="28"/>
        </w:rPr>
        <w:t>；</w:t>
      </w:r>
    </w:p>
    <w:p w14:paraId="40AD764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</w:rPr>
        <w:t>协会办公室负责对接酒店、餐厅、交通等服务提供方，核对费用明细，办理费用结算手续。</w:t>
      </w:r>
    </w:p>
    <w:p w14:paraId="114E405E">
      <w:pPr>
        <w:pStyle w:val="3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第四章 接待标准</w:t>
      </w:r>
    </w:p>
    <w:p w14:paraId="515C22AD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第十一条 住宿标准</w:t>
      </w:r>
    </w:p>
    <w:p w14:paraId="2C5E1B6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接待国内人员：省部级及以上领导，可安排套间；厅局级领导，可安排单间；其他人员，原则上安排标准间。住宿费用标准参照当地政府机关事业单位差旅住宿标准执行，不得超标准安排。</w:t>
      </w:r>
    </w:p>
    <w:p w14:paraId="2CA8F7F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</w:rPr>
        <w:t>接待国外人员：根据其身份与协会合作情况，合理安排住宿，优先选择性价比高、服务优质的酒店，住宿标准不超过国内同级别人员接待标准的 1.5 倍（特殊情况需经协会负责人审批）。</w:t>
      </w:r>
    </w:p>
    <w:p w14:paraId="30056CF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</w:rPr>
        <w:t>原则上不承担接待对象随行人员（如家属、私人助理等，除公务必要人员外）的住宿费用，特殊情况需经协会负责人审批。</w:t>
      </w:r>
    </w:p>
    <w:p w14:paraId="124BE744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第十二条 用餐标准</w:t>
      </w:r>
    </w:p>
    <w:p w14:paraId="23706D1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日常业务接待用餐：人均标准不超过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元 / 餐（不含酒水），原则上安排在协会合作餐厅或符合标准的家常菜馆，以家常菜为主，避免高档菜肴与奢侈浪费。</w:t>
      </w:r>
    </w:p>
    <w:p w14:paraId="08E1D9C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重大业务接待用餐：人均标准不超过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元 / 餐（不含酒水），需经协会负责人审批，可适当提高用餐品质，但仍需坚持节约原则，严禁铺张浪费。</w:t>
      </w:r>
    </w:p>
    <w:p w14:paraId="5EB6563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</w:rPr>
        <w:t>用餐人数：根据接待对象实际人数安排，陪同人员人数原则上不超过接待对象人数的 1.5 倍（接待对象人数少于 3 人时，陪同人员不超过 3 人），避免人员过多造成浪费。</w:t>
      </w:r>
    </w:p>
    <w:p w14:paraId="5A63A53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28"/>
          <w:szCs w:val="28"/>
        </w:rPr>
        <w:t>酒水安排：原则上不提供酒水，如确需提供，需经协会负责人审批，选择国产中档酒水。</w:t>
      </w:r>
    </w:p>
    <w:p w14:paraId="5D585058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第十三条 交通标准</w:t>
      </w:r>
    </w:p>
    <w:p w14:paraId="259E565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市内交通：优先安排协会自有车辆，如需租用车辆，选择正规租车公司，根据接待人数选择合适车型，严禁租用高档豪华车辆。</w:t>
      </w:r>
    </w:p>
    <w:p w14:paraId="1B74E45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</w:rPr>
        <w:t>长途交通：接待对象往返交通费用原则上由其自行承担，如确需协会承担，需经协会负责人审批，优先选择火车硬卧、高铁二等座等经济实惠的交通方式，如需乘坐飞机，需选择经济舱（特殊情况需经协会负责人审批）。</w:t>
      </w:r>
    </w:p>
    <w:p w14:paraId="45271388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第十四条 礼品标准</w:t>
      </w:r>
    </w:p>
    <w:p w14:paraId="3D7BA99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原则上不向接待对象赠送礼品，如确因业务需要赠送（如重要合作纪念），需经协会负责人审批，选择具有协会特色、实用且价值适中的礼品，人均礼品价值不超过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200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元，严禁赠送高档礼品、有价证券或贵重物品。</w:t>
      </w:r>
    </w:p>
    <w:p w14:paraId="3C878C8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</w:rPr>
        <w:t>不得向接待对象发放现金、购物卡、消费券等财物。</w:t>
      </w:r>
    </w:p>
    <w:p w14:paraId="3614DD27">
      <w:pPr>
        <w:pStyle w:val="3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第五章 费用管理</w:t>
      </w:r>
    </w:p>
    <w:p w14:paraId="6BDD5A30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第十五条 费用预算</w:t>
      </w:r>
    </w:p>
    <w:p w14:paraId="79FF76A6">
      <w:pPr>
        <w:keepNext w:val="0"/>
        <w:keepLines w:val="0"/>
        <w:widowControl/>
        <w:suppressLineNumbers w:val="0"/>
        <w:spacing w:beforeAutospacing="0" w:afterAutospacing="0" w:line="24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业务部门在提出接待申请时，需根据接待标准编制详细的费用预算，预算内容包括住宿、用餐、交通、礼品（如需）等各项费用。协会办公室对预算进行审核，确保预算符合制度规定与协会财务状况，重大接待费用预算需报协会负责人审批。</w:t>
      </w:r>
    </w:p>
    <w:p w14:paraId="752B392E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第十六条 费用支出</w:t>
      </w:r>
    </w:p>
    <w:p w14:paraId="1A60870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接待费用支出需严格按照审批通过的预算执行，不得超预算支出，如确需超预算，需重新履行审批手续。</w:t>
      </w:r>
    </w:p>
    <w:p w14:paraId="78195C3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</w:rPr>
        <w:t>费用支出需取得合法、有效的票据（如发票、收据等），票据内容需与接待活动相关，填写规范、完整。</w:t>
      </w:r>
    </w:p>
    <w:p w14:paraId="4D31463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</w:rPr>
        <w:t>严禁以接待名义报销与接待活动无关的费用，严禁虚开发票、套取资金。</w:t>
      </w:r>
    </w:p>
    <w:p w14:paraId="2FB5740F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第十七条 费用报销</w:t>
      </w:r>
    </w:p>
    <w:p w14:paraId="0098735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接待结束后 3 个工作日内，业务部门需整理好接待费用相关票据与资料（如《协会业务接待申请表》、接待方案、费用明细、票据等），填写《协会费用报销单》，经部门负责人审核后，报协会办公室复核。</w:t>
      </w:r>
    </w:p>
    <w:p w14:paraId="3AC8F0F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</w:rPr>
        <w:t>协会办公室复核票据的合法性、真实性与完整性，核对费用支出与预算的一致性，复核通过后，报协会财务部门审核，最后按协会财务审批流程报相关负责人审批。</w:t>
      </w:r>
    </w:p>
    <w:p w14:paraId="68558DC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</w:rPr>
        <w:t>财务部门根据审批通过的报销资料，在 3 个工作日内完成费用支付。</w:t>
      </w:r>
    </w:p>
    <w:p w14:paraId="35FC9261">
      <w:pPr>
        <w:pStyle w:val="3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第六章 监督与责任追究</w:t>
      </w:r>
    </w:p>
    <w:p w14:paraId="0707C344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第十八条 监督检查</w:t>
      </w:r>
    </w:p>
    <w:p w14:paraId="211B061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协会办公室定期（每季度）对接待工作开展情况与费用使用情况进行检查，检查内容包括接待流程执行、接待标准遵守、费用预算与支出合规性等，形成检查报告，报协会负责人。</w:t>
      </w:r>
    </w:p>
    <w:p w14:paraId="42BEA98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</w:rPr>
        <w:t>协会财务部门对接待费用的核算与支付进行监督，确保费用管理符合财务制度规定。</w:t>
      </w:r>
    </w:p>
    <w:p w14:paraId="76875B1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</w:rPr>
        <w:t>接受协会会员、员工及社会公众的监督，设立举报电话与邮箱，对举报内容及时调查处理。</w:t>
      </w:r>
    </w:p>
    <w:p w14:paraId="18B2E6F3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第十九条 责任追究</w:t>
      </w:r>
    </w:p>
    <w:p w14:paraId="465BBB9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对违反本制度规定，存在超范围、超标准接待，虚报、冒领接待费用，以接待名义报销无关费用等行为的，一经查实，责令相关责任人退还违规费用，并视情节轻重给予通报批评、绩效考核扣分等处分；</w:t>
      </w:r>
    </w:p>
    <w:p w14:paraId="2E3336C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</w:rPr>
        <w:t>情节严重、造成恶劣影响或给协会造成重大经济损失的，除追究经济责任外，还需按照协会相关规定给予纪律处分；涉嫌违法犯罪的，移交司法机关处理。</w:t>
      </w:r>
    </w:p>
    <w:p w14:paraId="5A8F3BF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0" w:after="0" w:afterAutospacing="0" w:line="240" w:lineRule="auto"/>
        <w:ind w:left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</w:rPr>
        <w:t>对在接待工作中玩忽职守、推诿扯皮，导致接待活动出现重大失误或造成不良影响的，对相关责任人给予通报批评、绩效考核扣分等处分；情节严重的，给予纪律处分。</w:t>
      </w:r>
    </w:p>
    <w:p w14:paraId="049CE9AD">
      <w:pPr>
        <w:pStyle w:val="3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第七章 附则</w:t>
      </w:r>
    </w:p>
    <w:p w14:paraId="791694CF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第二十条 附件</w:t>
      </w:r>
    </w:p>
    <w:p w14:paraId="4EE9022D">
      <w:pPr>
        <w:keepNext w:val="0"/>
        <w:keepLines w:val="0"/>
        <w:widowControl/>
        <w:suppressLineNumbers w:val="0"/>
        <w:spacing w:beforeAutospacing="0" w:afterAutospacing="0" w:line="240" w:lineRule="auto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本制度附件包括《协会业务接待申请表》，与本制度具有同等效力。</w:t>
      </w:r>
    </w:p>
    <w:p w14:paraId="1CF84A20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第二十一条 解释权</w:t>
      </w:r>
    </w:p>
    <w:p w14:paraId="21EB4C92">
      <w:pPr>
        <w:keepNext w:val="0"/>
        <w:keepLines w:val="0"/>
        <w:widowControl/>
        <w:suppressLineNumbers w:val="0"/>
        <w:spacing w:beforeAutospacing="0" w:afterAutospacing="0" w:line="240" w:lineRule="auto"/>
        <w:ind w:firstLine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本制度由协会办公室负责解释。</w:t>
      </w:r>
    </w:p>
    <w:p w14:paraId="379CB5E8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第二十二条 生效日期</w:t>
      </w:r>
    </w:p>
    <w:p w14:paraId="329D21D8">
      <w:pPr>
        <w:keepNext w:val="0"/>
        <w:keepLines w:val="0"/>
        <w:widowControl/>
        <w:suppressLineNumbers w:val="0"/>
        <w:spacing w:beforeAutospacing="0" w:afterAutospacing="0" w:line="240" w:lineRule="auto"/>
        <w:ind w:firstLine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本制度自发布之日起生效，原相关业务接待管理规定同时废止。</w:t>
      </w:r>
    </w:p>
    <w:p w14:paraId="5DEC0A6C">
      <w:pPr>
        <w:keepNext w:val="0"/>
        <w:keepLines w:val="0"/>
        <w:widowControl/>
        <w:suppressLineNumbers w:val="0"/>
        <w:spacing w:beforeAutospacing="0" w:afterAutospacing="0" w:line="240" w:lineRule="auto"/>
        <w:ind w:firstLine="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</w:pPr>
    </w:p>
    <w:p w14:paraId="68E1042D">
      <w:pPr>
        <w:keepNext w:val="0"/>
        <w:keepLines w:val="0"/>
        <w:widowControl/>
        <w:suppressLineNumbers w:val="0"/>
        <w:spacing w:beforeAutospacing="0" w:afterAutospacing="0" w:line="240" w:lineRule="auto"/>
        <w:ind w:firstLine="5040" w:firstLineChars="18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合肥市建设工程造价协会</w:t>
      </w:r>
    </w:p>
    <w:p w14:paraId="3FD4DD5A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1CB5310D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rPr>
          <w:rFonts w:hint="eastAsia" w:ascii="仿宋_GB2312" w:hAnsi="仿宋_GB2312" w:eastAsia="仿宋_GB2312" w:cs="仿宋_GB2312"/>
          <w:sz w:val="28"/>
          <w:szCs w:val="28"/>
        </w:rPr>
      </w:pPr>
    </w:p>
    <w:tbl>
      <w:tblPr>
        <w:tblStyle w:val="5"/>
        <w:tblpPr w:leftFromText="180" w:rightFromText="180" w:vertAnchor="text" w:horzAnchor="page" w:tblpX="1225" w:tblpY="696"/>
        <w:tblOverlap w:val="never"/>
        <w:tblW w:w="97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26"/>
        <w:gridCol w:w="1847"/>
        <w:gridCol w:w="2895"/>
        <w:gridCol w:w="1275"/>
        <w:gridCol w:w="1987"/>
      </w:tblGrid>
      <w:tr w14:paraId="6BFF9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726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6AB7E4B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接待对象信息</w:t>
            </w:r>
          </w:p>
        </w:tc>
        <w:tc>
          <w:tcPr>
            <w:tcW w:w="1847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28D9CF9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单位名称</w:t>
            </w:r>
          </w:p>
        </w:tc>
        <w:tc>
          <w:tcPr>
            <w:tcW w:w="2895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67175E7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39FF1D6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接待人数</w:t>
            </w:r>
          </w:p>
        </w:tc>
        <w:tc>
          <w:tcPr>
            <w:tcW w:w="1987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6F84B33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人（其中：领导 人、工作人员 人）</w:t>
            </w:r>
          </w:p>
        </w:tc>
      </w:tr>
      <w:tr w14:paraId="11B6D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726" w:type="dxa"/>
            <w:vMerge w:val="restart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48B1CCB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接待基本信息</w:t>
            </w:r>
          </w:p>
        </w:tc>
        <w:tc>
          <w:tcPr>
            <w:tcW w:w="1847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6BB3D71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主要负责人职务及姓名</w:t>
            </w:r>
          </w:p>
        </w:tc>
        <w:tc>
          <w:tcPr>
            <w:tcW w:w="2895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054AF29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124DB11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1987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32D97EA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771F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726" w:type="dxa"/>
            <w:vMerge w:val="continue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4FBA484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6CA1396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接待目的</w:t>
            </w:r>
          </w:p>
        </w:tc>
        <w:tc>
          <w:tcPr>
            <w:tcW w:w="6157" w:type="dxa"/>
            <w:gridSpan w:val="3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5C1CC40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（如：合作洽谈、考察调研、会议交流等）</w:t>
            </w:r>
          </w:p>
        </w:tc>
      </w:tr>
      <w:tr w14:paraId="7CD17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726" w:type="dxa"/>
            <w:vMerge w:val="continue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20CA2D3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4937E4A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接待时间</w:t>
            </w:r>
          </w:p>
        </w:tc>
        <w:tc>
          <w:tcPr>
            <w:tcW w:w="6157" w:type="dxa"/>
            <w:gridSpan w:val="3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411C8C8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年 月 日 至 年 月 日</w:t>
            </w:r>
          </w:p>
        </w:tc>
      </w:tr>
      <w:tr w14:paraId="62C3C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726" w:type="dxa"/>
            <w:vMerge w:val="continue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78DD0CF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07B9CD5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预计行程</w:t>
            </w:r>
          </w:p>
        </w:tc>
        <w:tc>
          <w:tcPr>
            <w:tcW w:w="6157" w:type="dxa"/>
            <w:gridSpan w:val="3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3D7BB3B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1. 年 月 日：2. 年 月 日：...</w:t>
            </w:r>
          </w:p>
        </w:tc>
      </w:tr>
      <w:tr w14:paraId="001A5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726" w:type="dxa"/>
            <w:vMerge w:val="restart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0712AA7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费用预算</w:t>
            </w:r>
          </w:p>
        </w:tc>
        <w:tc>
          <w:tcPr>
            <w:tcW w:w="1847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069D915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住宿费用</w:t>
            </w:r>
          </w:p>
        </w:tc>
        <w:tc>
          <w:tcPr>
            <w:tcW w:w="6157" w:type="dxa"/>
            <w:gridSpan w:val="3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37B795A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元（人数：人，天数：天，标准：元 / 人 / 天）</w:t>
            </w:r>
          </w:p>
        </w:tc>
      </w:tr>
      <w:tr w14:paraId="6E560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726" w:type="dxa"/>
            <w:vMerge w:val="continue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503BAE6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591B17E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用餐费用</w:t>
            </w:r>
          </w:p>
        </w:tc>
        <w:tc>
          <w:tcPr>
            <w:tcW w:w="6157" w:type="dxa"/>
            <w:gridSpan w:val="3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12D534A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元（次数：次，人数：人 / 次，标准：元 / 人 / 次）</w:t>
            </w:r>
          </w:p>
        </w:tc>
      </w:tr>
      <w:tr w14:paraId="19776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726" w:type="dxa"/>
            <w:vMerge w:val="continue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2B6072B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2DF0C44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交通费用</w:t>
            </w:r>
          </w:p>
        </w:tc>
        <w:tc>
          <w:tcPr>
            <w:tcW w:w="6157" w:type="dxa"/>
            <w:gridSpan w:val="3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43391C7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元（市内交通：元，长途交通：元）</w:t>
            </w:r>
          </w:p>
        </w:tc>
      </w:tr>
      <w:tr w14:paraId="5C91F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726" w:type="dxa"/>
            <w:vMerge w:val="continue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2E87F5B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791DE68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其他费用（如礼品、资料印刷等）</w:t>
            </w:r>
          </w:p>
        </w:tc>
        <w:tc>
          <w:tcPr>
            <w:tcW w:w="6157" w:type="dxa"/>
            <w:gridSpan w:val="3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02C225C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元</w:t>
            </w:r>
          </w:p>
        </w:tc>
      </w:tr>
      <w:tr w14:paraId="5025A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726" w:type="dxa"/>
            <w:vMerge w:val="continue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3D3D32A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2536CEF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总预算</w:t>
            </w:r>
          </w:p>
        </w:tc>
        <w:tc>
          <w:tcPr>
            <w:tcW w:w="6157" w:type="dxa"/>
            <w:gridSpan w:val="3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0CD190F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元</w:t>
            </w:r>
          </w:p>
        </w:tc>
      </w:tr>
      <w:tr w14:paraId="7EC5F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726" w:type="dxa"/>
            <w:vMerge w:val="restart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6FA993E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审批意见</w:t>
            </w:r>
          </w:p>
        </w:tc>
        <w:tc>
          <w:tcPr>
            <w:tcW w:w="1847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6B79540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业务部门负责人</w:t>
            </w:r>
          </w:p>
        </w:tc>
        <w:tc>
          <w:tcPr>
            <w:tcW w:w="6157" w:type="dxa"/>
            <w:gridSpan w:val="3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18AF64E3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签字：                          日期： 年 月 日</w:t>
            </w:r>
          </w:p>
        </w:tc>
      </w:tr>
      <w:tr w14:paraId="1D617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726" w:type="dxa"/>
            <w:vMerge w:val="continue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0C9C6EA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7413F0A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协会办公室负责人</w:t>
            </w:r>
          </w:p>
        </w:tc>
        <w:tc>
          <w:tcPr>
            <w:tcW w:w="6157" w:type="dxa"/>
            <w:gridSpan w:val="3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1759BC98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签字：                          日期： 年 月 日</w:t>
            </w:r>
          </w:p>
        </w:tc>
      </w:tr>
      <w:tr w14:paraId="41563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726" w:type="dxa"/>
            <w:vMerge w:val="continue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1FC4AAF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3BE8802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协会负责人（重大接待）</w:t>
            </w:r>
          </w:p>
        </w:tc>
        <w:tc>
          <w:tcPr>
            <w:tcW w:w="6157" w:type="dxa"/>
            <w:gridSpan w:val="3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33B26C3A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签字：                          日期： 年 月 日</w:t>
            </w:r>
          </w:p>
        </w:tc>
      </w:tr>
    </w:tbl>
    <w:p w14:paraId="4D0FE90E">
      <w:pPr>
        <w:pStyle w:val="4"/>
        <w:keepNext w:val="0"/>
        <w:keepLines w:val="0"/>
        <w:widowControl/>
        <w:suppressLineNumbers w:val="0"/>
        <w:spacing w:beforeAutospacing="0" w:afterAutospacing="0" w:line="240" w:lineRule="auto"/>
        <w:ind w:firstLine="0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 1：协会业务接待申请表</w:t>
      </w:r>
    </w:p>
    <w:p w14:paraId="4AF8378F">
      <w:pPr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1A14B7"/>
    <w:rsid w:val="4D806C48"/>
    <w:rsid w:val="55EC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3983</Words>
  <Characters>3996</Characters>
  <Lines>0</Lines>
  <Paragraphs>0</Paragraphs>
  <TotalTime>21</TotalTime>
  <ScaleCrop>false</ScaleCrop>
  <LinksUpToDate>false</LinksUpToDate>
  <CharactersWithSpaces>4161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2025-08-26T23:57:00Z</dcterms:created>
  <dc:creator>wangyong1982</dc:creator>
  <cp:lastModifiedBy>造价协会</cp:lastModifiedBy>
  <dcterms:modified xsi:type="dcterms:W3CDTF">2025-11-05T02:32:10Z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D1F742FCB9A64C36B26C2D417D5A8818_13</vt:lpwstr>
  </property>
</Properties>
</file>